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rPr>
        <w:t>大厂回族自治县财政局</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大厂回族自治县财政局</w:t>
      </w:r>
      <w:r>
        <w:rPr>
          <w:rFonts w:eastAsia="黑体"/>
          <w:sz w:val="32"/>
          <w:szCs w:val="32"/>
        </w:rPr>
        <w:t>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 xml:space="preserve">第二部分   </w:t>
      </w:r>
      <w:r>
        <w:rPr>
          <w:rFonts w:hint="eastAsia" w:eastAsia="黑体"/>
          <w:sz w:val="32"/>
          <w:szCs w:val="32"/>
        </w:rPr>
        <w:t>大厂回族自治县财政局</w:t>
      </w:r>
      <w:r>
        <w:rPr>
          <w:rFonts w:eastAsia="黑体"/>
          <w:sz w:val="32"/>
          <w:szCs w:val="32"/>
        </w:rPr>
        <w:t>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大厂回族自治县财政局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w:t>
      </w:r>
      <w:r>
        <w:rPr>
          <w:rFonts w:hint="eastAsia" w:eastAsia="黑体"/>
          <w:sz w:val="32"/>
          <w:szCs w:val="32"/>
        </w:rPr>
        <w:t xml:space="preserve">   </w:t>
      </w:r>
      <w:r>
        <w:rPr>
          <w:rFonts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Pr>
        <w:widowControl/>
        <w:jc w:val="center"/>
        <w:rPr>
          <w:rFonts w:hAnsi="宋体" w:asciiTheme="minorEastAsia" w:eastAsiaTheme="minorEastAsia"/>
          <w:color w:val="000000" w:themeColor="text1"/>
          <w:sz w:val="96"/>
          <w:szCs w:val="96"/>
        </w:rPr>
      </w:pPr>
    </w:p>
    <w:p>
      <w:pPr>
        <w:widowControl/>
        <w:jc w:val="center"/>
        <w:rPr>
          <w:rFonts w:hAnsi="宋体" w:asciiTheme="minorEastAsia" w:eastAsiaTheme="minorEastAsia"/>
          <w:color w:val="000000" w:themeColor="text1"/>
          <w:sz w:val="96"/>
          <w:szCs w:val="96"/>
        </w:rPr>
      </w:pPr>
    </w:p>
    <w:p>
      <w:pPr>
        <w:widowControl/>
        <w:jc w:val="center"/>
        <w:rPr>
          <w:rFonts w:hAnsi="宋体" w:asciiTheme="minorEastAsia" w:eastAsiaTheme="minorEastAsia"/>
          <w:color w:val="000000" w:themeColor="text1"/>
          <w:sz w:val="96"/>
          <w:szCs w:val="96"/>
        </w:rPr>
      </w:pPr>
    </w:p>
    <w:p>
      <w:pPr>
        <w:widowControl/>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第一部分  部门概况</w:t>
      </w:r>
    </w:p>
    <w:p>
      <w:pPr>
        <w:widowControl/>
        <w:jc w:val="center"/>
        <w:rPr>
          <w:color w:val="000000" w:themeColor="text1"/>
          <w:sz w:val="96"/>
          <w:szCs w:val="96"/>
        </w:rPr>
      </w:pPr>
    </w:p>
    <w:p/>
    <w:p/>
    <w:p/>
    <w:p/>
    <w:p/>
    <w:p/>
    <w:p>
      <w:pPr>
        <w:pStyle w:val="2"/>
        <w:spacing w:before="0" w:after="0" w:line="600" w:lineRule="exact"/>
        <w:ind w:firstLine="640" w:firstLineChars="200"/>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一）贯彻执行国家和省市财税方针、政策及法律法规，根据全县国民经济和社会发展规划，拟订全县财政发展战略和中长期规划；提出运用财税政策实施宏观调控和综合平衡社会财力建议；改革、完善财政管理体制。</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（二）负责提出全县财政、预算、财务、会计等政策性文件立项的建议；根据县政府委托会同有关部门起草有关地方规范性文件草案，制定有关制度并监督实施。</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三）承担财政预算管理的责任。负责编制全县和县本级年度财政预算草案并组织执行，编制全县和县本级年度财政决算；受县政府委托，向县人民代表大会常务委员会报告全县和县本级预算及其执行情况，向县人大常委会报告决算；组织制定经费开支标准、定额，负责审批批复（单位）的年度预决算。管理县级各项财政收入，管理县级预算外资金和财政专户；管理有关政府基金和行政事业性收费工作。</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（四）承担财政体制管理的责任。负责拟订县与镇（园区）之间财政管理体制，完善地方转移支付制度。</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（五）承担财政国库管理的责任。组织制定地方国库管理制度、国库集中收付制度并组织实施，按规定开展国库现金管理；负责制定政府采购制度并监督管理。</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（六）负责政府非税收入和政府性基金管理；按规定管理行政事业性收费；管理财政票据；按规定管理彩票资金并拟订地方彩票资金管理制度。</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七）贯彻执行国家和省、市税收法律、法规及有关政策，负责组织起草管理权限内地方性税收政策草案、实施细则和税收政策调整方案；研究提出中央、省授权税目税率调整、减免和地方税收政策等重大事项的建议；对地方承担出口退税事务实施监管，监督检查税收政策的执行情况。</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（八）负责制定行政事业单位国有资产管理制度并组织实施，以及行政事业单位的国有资产监督管理；制定需要全县统一规定的资产配备标准及规定；承担县直机关事业单位公务车辆编制管理职责。</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九）负责审核和汇总编制全县国有资本经营预决算草案，拟订国有资本经营预算的制度和办法，收取县级企业国有资本收益；制定并组织实施企业财务制度；按规定管理县属地方金融类企业国有资产，参与拟订企业国有资产管理相关制度，按规定管理资产评估工作。</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（十）负责办理和监督县级财政的经济社会发展支出、政府性投资项目的财政拨款；参与拟订县建设投资的有关政策，制定基本建设财务制度；负责有关政策性补贴和专项储备资金财政管理。</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（十一）会同有关部门管理县级财政社会保障和就业及医疗卫生支出，会同有关部门拟订社会保障资金（基金）的财务管理制度；编制县级社会保障预决算草案。</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十二）负责管理县政府的国内外债权、债务。执行国家外债管理的政策，拟订具体实施办法。承担外国政府贷款、国际金融组织贷款的管理；负责财政预算内行政机构、事业单位和社会团体的非贸易外汇管理；受县政府委托会同有关部门处理涉及财政、债务等方面的涉外事务。</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（十三）负责管理全县会计工作，监督和规范会计行为，组织实施国家统一的会计制度。</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（十四）监督检查财税法规、政策的执行情况和财政资金使用管理情况，反映财政收支管理中的问题，提出加强财政管理的政策建议。</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（十五）负责制定财政支出绩效评价制度、办法和操作规程，统一组织和分级实施绩效评价工作，指导、监督主管部门和单位的绩效评价工作。</w:t>
      </w:r>
    </w:p>
    <w:p>
      <w:pPr>
        <w:widowControl/>
        <w:ind w:firstLine="640" w:firstLineChars="200"/>
        <w:rPr>
          <w:rFonts w:ascii="仿宋" w:hAnsi="仿宋" w:eastAsia="仿宋" w:cs="仿宋_GB2312"/>
          <w:color w:val="484747"/>
          <w:kern w:val="0"/>
          <w:sz w:val="32"/>
          <w:szCs w:val="32"/>
        </w:rPr>
      </w:pPr>
      <w:r>
        <w:rPr>
          <w:rFonts w:hint="eastAsia" w:ascii="仿宋" w:hAnsi="仿宋" w:eastAsia="仿宋" w:cs="仿宋_GB2312"/>
          <w:color w:val="484747"/>
          <w:kern w:val="0"/>
          <w:sz w:val="32"/>
          <w:szCs w:val="32"/>
        </w:rPr>
        <w:t>（十六）承办县委、县政府交办的其他事项。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    从决算编报单位构成看，纳入2018 年度本部门决算汇编范围的独立核算单位（以下简称“单位”）共1个，具体情况如下：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大厂回族自治县财政局</w:t>
            </w:r>
          </w:p>
        </w:tc>
        <w:tc>
          <w:tcPr>
            <w:tcW w:w="2445"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rPr>
              <w:t>行政</w:t>
            </w:r>
            <w:r>
              <w:rPr>
                <w:rFonts w:hint="eastAsia" w:ascii="仿宋_GB2312" w:eastAsia="仿宋_GB2312" w:cs="ArialUnicodeMS" w:hAnsiTheme="minorHAnsi"/>
                <w:kern w:val="0"/>
                <w:sz w:val="28"/>
                <w:szCs w:val="28"/>
                <w:lang w:val="en-US" w:eastAsia="zh-CN"/>
              </w:rPr>
              <w:t>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bl>
    <w:p>
      <w:pPr>
        <w:widowControl/>
        <w:spacing w:line="560" w:lineRule="exact"/>
        <w:rPr>
          <w:rFonts w:ascii="黑体" w:eastAsia="黑体" w:cs="MS-UIGothic,Bold" w:hAnsiTheme="minorHAnsi"/>
          <w:bCs/>
          <w:kern w:val="0"/>
          <w:sz w:val="52"/>
          <w:szCs w:val="52"/>
        </w:rPr>
      </w:pPr>
    </w:p>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color w:val="000000" w:themeColor="text1"/>
          <w:sz w:val="72"/>
          <w:szCs w:val="96"/>
        </w:rPr>
      </w:pPr>
      <w:r>
        <w:rPr>
          <w:rFonts w:hint="eastAsia" w:hAnsi="宋体" w:asciiTheme="minorEastAsia" w:eastAsiaTheme="minorEastAsia"/>
          <w:color w:val="000000" w:themeColor="text1"/>
          <w:sz w:val="72"/>
          <w:szCs w:val="96"/>
        </w:rPr>
        <w:t>2018年度部门决算报表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部门：大厂回族自治县财政局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1956.24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1642.77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108.17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38.84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64.90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1958.24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1856.07</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128.22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230.39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2086.45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2086.45</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5000" w:type="pct"/>
        <w:jc w:val="center"/>
        <w:tblLayout w:type="autofit"/>
        <w:tblCellMar>
          <w:top w:w="0" w:type="dxa"/>
          <w:left w:w="0" w:type="dxa"/>
          <w:bottom w:w="0" w:type="dxa"/>
          <w:right w:w="0" w:type="dxa"/>
        </w:tblCellMar>
      </w:tblPr>
      <w:tblGrid>
        <w:gridCol w:w="247"/>
        <w:gridCol w:w="133"/>
        <w:gridCol w:w="385"/>
        <w:gridCol w:w="3390"/>
        <w:gridCol w:w="443"/>
        <w:gridCol w:w="216"/>
        <w:gridCol w:w="106"/>
        <w:gridCol w:w="572"/>
        <w:gridCol w:w="193"/>
        <w:gridCol w:w="146"/>
        <w:gridCol w:w="97"/>
        <w:gridCol w:w="354"/>
        <w:gridCol w:w="316"/>
        <w:gridCol w:w="248"/>
        <w:gridCol w:w="424"/>
        <w:gridCol w:w="800"/>
        <w:gridCol w:w="804"/>
      </w:tblGrid>
      <w:tr>
        <w:tblPrEx>
          <w:tblCellMar>
            <w:top w:w="0" w:type="dxa"/>
            <w:left w:w="0" w:type="dxa"/>
            <w:bottom w:w="0" w:type="dxa"/>
            <w:right w:w="0" w:type="dxa"/>
          </w:tblCellMar>
        </w:tblPrEx>
        <w:trPr>
          <w:trHeight w:val="770" w:hRule="atLeast"/>
          <w:jc w:val="center"/>
        </w:trPr>
        <w:tc>
          <w:tcPr>
            <w:tcW w:w="5000" w:type="pct"/>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190"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2"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95"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9"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3"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8"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3"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4"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3"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3"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60" w:type="pct"/>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1639" w:type="pct"/>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部门：大厂回族自治县财政局</w:t>
            </w:r>
          </w:p>
        </w:tc>
        <w:tc>
          <w:tcPr>
            <w:tcW w:w="148"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3"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4"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3"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3"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60" w:type="pct"/>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1336" w:type="pct"/>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523" w:type="pct"/>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23" w:type="pct"/>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523" w:type="pct"/>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523" w:type="pct"/>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523" w:type="pct"/>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523" w:type="pct"/>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526" w:type="pct"/>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749" w:type="pct"/>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523" w:type="pct"/>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523" w:type="pct"/>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23" w:type="pct"/>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23" w:type="pct"/>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23" w:type="pct"/>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23" w:type="pct"/>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26" w:type="pct"/>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1336" w:type="pct"/>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52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5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1336" w:type="pct"/>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523" w:type="pct"/>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1958.24</w:t>
            </w:r>
          </w:p>
        </w:tc>
        <w:tc>
          <w:tcPr>
            <w:tcW w:w="523"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1956.24</w:t>
            </w:r>
          </w:p>
        </w:tc>
        <w:tc>
          <w:tcPr>
            <w:tcW w:w="523"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23"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23"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23"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26"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2.00</w:t>
            </w: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1740.42</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1738.42</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财政事务</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1740.42</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1738.42</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1705.42</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1703.42</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w:t>
            </w: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2010604</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预算改革业务</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2010605</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财政国库业务</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58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74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523" w:type="pct"/>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5000" w:type="pct"/>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5000" w:type="pct"/>
        <w:tblInd w:w="0" w:type="dxa"/>
        <w:tblLayout w:type="autofit"/>
        <w:tblCellMar>
          <w:top w:w="0" w:type="dxa"/>
          <w:left w:w="0" w:type="dxa"/>
          <w:bottom w:w="0" w:type="dxa"/>
          <w:right w:w="0" w:type="dxa"/>
        </w:tblCellMar>
      </w:tblPr>
      <w:tblGrid>
        <w:gridCol w:w="160"/>
        <w:gridCol w:w="160"/>
        <w:gridCol w:w="554"/>
        <w:gridCol w:w="3390"/>
        <w:gridCol w:w="473"/>
        <w:gridCol w:w="311"/>
        <w:gridCol w:w="484"/>
        <w:gridCol w:w="287"/>
        <w:gridCol w:w="471"/>
        <w:gridCol w:w="225"/>
        <w:gridCol w:w="550"/>
        <w:gridCol w:w="200"/>
        <w:gridCol w:w="577"/>
        <w:gridCol w:w="210"/>
        <w:gridCol w:w="823"/>
      </w:tblGrid>
      <w:tr>
        <w:tblPrEx>
          <w:tblCellMar>
            <w:top w:w="0" w:type="dxa"/>
            <w:left w:w="0" w:type="dxa"/>
            <w:bottom w:w="0" w:type="dxa"/>
            <w:right w:w="0" w:type="dxa"/>
          </w:tblCellMar>
        </w:tblPrEx>
        <w:trPr>
          <w:trHeight w:val="798" w:hRule="atLeast"/>
        </w:trPr>
        <w:tc>
          <w:tcPr>
            <w:tcW w:w="5000" w:type="pct"/>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161"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1"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46"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1"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9"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1"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2"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1"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2"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66"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1748" w:type="pct"/>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部门：大厂回族自治县财政局</w:t>
            </w:r>
          </w:p>
        </w:tc>
        <w:tc>
          <w:tcPr>
            <w:tcW w:w="621"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2"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1"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88" w:type="pct"/>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1388"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602" w:type="pct"/>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602" w:type="pct"/>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602" w:type="pct"/>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602" w:type="pct"/>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602" w:type="pct"/>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602" w:type="pct"/>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76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602" w:type="pct"/>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02" w:type="pct"/>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02" w:type="pct"/>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02" w:type="pct"/>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02" w:type="pct"/>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02" w:type="pct"/>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1388" w:type="pct"/>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602"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602"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602"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602"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602"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60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1388" w:type="pct"/>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1856.07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1488.79</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367.27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1642.77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1276.87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365.90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财政事务</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1642.77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1276.87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365.90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1565.44</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1276.87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288.57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201604</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预算改革业务</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14.73</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14.73</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2010605</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财政国库业务</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2010606</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财政监察</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2010699</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其他财政事务支出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38.59</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38.59</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768"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62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27" w:hRule="atLeast"/>
        </w:trPr>
        <w:tc>
          <w:tcPr>
            <w:tcW w:w="5000" w:type="pct"/>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部门：大厂回族自治县财政局 </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1956.24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1642.77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1642.77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108.17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108.17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38.84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38.84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64.90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64.90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1956.24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1856.07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1856.07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128.22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228.39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228.39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128.22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2084.45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2084.45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2084.45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5000" w:type="pct"/>
        <w:tblInd w:w="0" w:type="dxa"/>
        <w:tblLayout w:type="autofit"/>
        <w:tblCellMar>
          <w:top w:w="0" w:type="dxa"/>
          <w:left w:w="0" w:type="dxa"/>
          <w:bottom w:w="0" w:type="dxa"/>
          <w:right w:w="0" w:type="dxa"/>
        </w:tblCellMar>
      </w:tblPr>
      <w:tblGrid>
        <w:gridCol w:w="245"/>
        <w:gridCol w:w="246"/>
        <w:gridCol w:w="274"/>
        <w:gridCol w:w="3390"/>
        <w:gridCol w:w="506"/>
        <w:gridCol w:w="846"/>
        <w:gridCol w:w="560"/>
        <w:gridCol w:w="1044"/>
        <w:gridCol w:w="1763"/>
      </w:tblGrid>
      <w:tr>
        <w:tblPrEx>
          <w:tblCellMar>
            <w:top w:w="0" w:type="dxa"/>
            <w:left w:w="0" w:type="dxa"/>
            <w:bottom w:w="0" w:type="dxa"/>
            <w:right w:w="0" w:type="dxa"/>
          </w:tblCellMar>
        </w:tblPrEx>
        <w:trPr>
          <w:trHeight w:val="600" w:hRule="atLeast"/>
        </w:trPr>
        <w:tc>
          <w:tcPr>
            <w:tcW w:w="5000" w:type="pct"/>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179"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0"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1"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90"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20" w:type="pct"/>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68"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61"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2171" w:type="pct"/>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部门：大厂回族自治县财政局</w:t>
            </w:r>
          </w:p>
        </w:tc>
        <w:tc>
          <w:tcPr>
            <w:tcW w:w="1068"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61" w:type="pct"/>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1751"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3249" w:type="pct"/>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560"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90" w:type="pct"/>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pct"/>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083" w:type="pct"/>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4"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560"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90" w:type="pct"/>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560"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90" w:type="pct"/>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1751" w:type="pct"/>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1751" w:type="pct"/>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1856.07</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1488.79</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367.27</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1642.77</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1276.87</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365.90</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财政事务</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1642.77</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1276.87</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365.90</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2010601</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1565.44</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1276.87</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288.57</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201604</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预算改革业务</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14.73</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14.73</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2010605</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财政国库业务</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9.00</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9.00</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2010606</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财政监察</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15.00</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15.00</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2010699</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其他财政事务支出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38.59</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38.59</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108.17</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38.84</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1.38</w:t>
            </w: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0" w:type="pct"/>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19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000" w:type="pct"/>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部门：大厂回族自治县财政局</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3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1079.80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190.33</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323.56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23.51</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485.34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2.14</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0.46</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5.62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0.81</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128.46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9.59</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51.80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46.46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8.87</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6.72</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7.07</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64.90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2.95</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218.65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0.07</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1.55</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0.83</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2.91</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8.26</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217.36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8.58</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10.00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39.70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4.50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1298.46</w:t>
            </w:r>
          </w:p>
        </w:tc>
        <w:tc>
          <w:tcPr>
            <w:tcW w:w="5326"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190.33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部门：大厂回族自治县财政局</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10.84</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0.84</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10.83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0.83</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46"/>
        <w:gridCol w:w="45"/>
        <w:gridCol w:w="163"/>
        <w:gridCol w:w="316"/>
        <w:gridCol w:w="188"/>
        <w:gridCol w:w="274"/>
        <w:gridCol w:w="207"/>
        <w:gridCol w:w="376"/>
        <w:gridCol w:w="311"/>
        <w:gridCol w:w="783"/>
        <w:gridCol w:w="72"/>
        <w:gridCol w:w="180"/>
        <w:gridCol w:w="660"/>
        <w:gridCol w:w="986"/>
        <w:gridCol w:w="205"/>
        <w:gridCol w:w="154"/>
        <w:gridCol w:w="1038"/>
        <w:gridCol w:w="501"/>
        <w:gridCol w:w="691"/>
        <w:gridCol w:w="1208"/>
        <w:gridCol w:w="60"/>
      </w:tblGrid>
      <w:tr>
        <w:tblPrEx>
          <w:tblCellMar>
            <w:top w:w="0" w:type="dxa"/>
            <w:left w:w="0" w:type="dxa"/>
            <w:bottom w:w="0" w:type="dxa"/>
            <w:right w:w="0" w:type="dxa"/>
          </w:tblCellMar>
        </w:tblPrEx>
        <w:trPr>
          <w:trHeight w:val="707" w:hRule="atLeast"/>
        </w:trPr>
        <w:tc>
          <w:tcPr>
            <w:tcW w:w="8860" w:type="dxa"/>
            <w:gridSpan w:val="2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4"/>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1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部门：大厂回族自治县财政局</w:t>
            </w:r>
          </w:p>
        </w:tc>
        <w:tc>
          <w:tcPr>
            <w:tcW w:w="84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4"/>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5"/>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4"/>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9"/>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9"/>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2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注：本部门本年度无相关政府性基金预算财政拨款收入、支出及结转和结余情况，按要求空表列示。</w:t>
            </w:r>
          </w:p>
        </w:tc>
      </w:tr>
      <w:tr>
        <w:tblPrEx>
          <w:tblCellMar>
            <w:top w:w="0" w:type="dxa"/>
            <w:left w:w="0" w:type="dxa"/>
            <w:bottom w:w="0" w:type="dxa"/>
            <w:right w:w="0" w:type="dxa"/>
          </w:tblCellMar>
        </w:tblPrEx>
        <w:trPr>
          <w:gridAfter w:val="1"/>
          <w:wAfter w:w="60" w:type="dxa"/>
          <w:trHeight w:val="656" w:hRule="atLeast"/>
        </w:trPr>
        <w:tc>
          <w:tcPr>
            <w:tcW w:w="8800" w:type="dxa"/>
            <w:gridSpan w:val="2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kern w:val="0"/>
                <w:sz w:val="40"/>
                <w:szCs w:val="40"/>
              </w:rPr>
            </w:pPr>
          </w:p>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gridAfter w:val="1"/>
          <w:wAfter w:w="60" w:type="dxa"/>
          <w:trHeight w:val="335" w:hRule="atLeast"/>
        </w:trPr>
        <w:tc>
          <w:tcPr>
            <w:tcW w:w="44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gridAfter w:val="1"/>
          <w:wAfter w:w="60" w:type="dxa"/>
          <w:trHeight w:val="335" w:hRule="atLeast"/>
        </w:trPr>
        <w:tc>
          <w:tcPr>
            <w:tcW w:w="3357" w:type="dxa"/>
            <w:gridSpan w:val="1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编制单位：大厂回族自治县财政局</w:t>
            </w:r>
          </w:p>
        </w:tc>
        <w:tc>
          <w:tcPr>
            <w:tcW w:w="200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gridAfter w:val="1"/>
          <w:wAfter w:w="60" w:type="dxa"/>
          <w:trHeight w:val="358" w:hRule="atLeast"/>
        </w:trPr>
        <w:tc>
          <w:tcPr>
            <w:tcW w:w="3105"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10"/>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gridAfter w:val="1"/>
          <w:wAfter w:w="60" w:type="dxa"/>
          <w:trHeight w:val="826" w:hRule="atLeast"/>
        </w:trPr>
        <w:tc>
          <w:tcPr>
            <w:tcW w:w="1428"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gridAfter w:val="1"/>
          <w:wAfter w:w="60" w:type="dxa"/>
          <w:trHeight w:val="358" w:hRule="atLeast"/>
        </w:trPr>
        <w:tc>
          <w:tcPr>
            <w:tcW w:w="3105" w:type="dxa"/>
            <w:gridSpan w:val="11"/>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gridAfter w:val="1"/>
          <w:wAfter w:w="60" w:type="dxa"/>
          <w:trHeight w:val="358" w:hRule="atLeast"/>
        </w:trPr>
        <w:tc>
          <w:tcPr>
            <w:tcW w:w="3105" w:type="dxa"/>
            <w:gridSpan w:val="11"/>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58" w:hRule="atLeast"/>
        </w:trPr>
        <w:tc>
          <w:tcPr>
            <w:tcW w:w="8800" w:type="dxa"/>
            <w:gridSpan w:val="2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w:t>
            </w:r>
            <w:r>
              <w:rPr>
                <w:rFonts w:hint="eastAsia" w:ascii="宋体" w:hAnsi="宋体" w:cs="宋体"/>
                <w:color w:val="000000"/>
                <w:kern w:val="0"/>
                <w:szCs w:val="21"/>
              </w:rPr>
              <w:t>本部门本年度无相关</w:t>
            </w:r>
            <w:r>
              <w:rPr>
                <w:rFonts w:hint="eastAsia" w:ascii="宋体" w:hAnsi="宋体" w:cs="宋体"/>
                <w:color w:val="000000"/>
                <w:kern w:val="0"/>
                <w:sz w:val="22"/>
                <w:szCs w:val="22"/>
              </w:rPr>
              <w:t>国有资本经营预算财政拨款支出情况</w:t>
            </w:r>
            <w:r>
              <w:rPr>
                <w:rFonts w:hint="eastAsia" w:ascii="宋体" w:hAnsi="宋体" w:cs="宋体"/>
                <w:color w:val="000000"/>
                <w:kern w:val="0"/>
                <w:szCs w:val="21"/>
              </w:rPr>
              <w:t>，按要求空表列示。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编制单位：大厂回族自治县财政局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spacing w:after="0" w:line="560" w:lineRule="exact"/>
              <w:jc w:val="left"/>
              <w:rPr>
                <w:rFonts w:ascii="仿宋_GB2312" w:eastAsia="仿宋_GB2312" w:hAnsiTheme="majorEastAsia"/>
                <w:b/>
                <w:sz w:val="28"/>
                <w:szCs w:val="28"/>
                <w:highlight w:val="yellow"/>
              </w:rPr>
            </w:pPr>
            <w:r>
              <w:rPr>
                <w:rFonts w:hint="eastAsia" w:ascii="宋体" w:hAnsi="宋体" w:cs="宋体"/>
                <w:color w:val="000000"/>
                <w:kern w:val="0"/>
                <w:szCs w:val="21"/>
              </w:rPr>
              <w:t>注：本部门本年度无纳入部门预算范围的政府采购预算及支出情况，按要求空表列示。</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w:t>
            </w:r>
          </w:p>
        </w:tc>
      </w:tr>
    </w:tbl>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本部门2018年度收支总计（含结转和结余）2086</w:t>
      </w:r>
      <w:r>
        <w:rPr>
          <w:rFonts w:hint="eastAsia" w:ascii="宋体" w:hAnsi="宋体" w:cs="宋体"/>
          <w:sz w:val="32"/>
          <w:szCs w:val="32"/>
        </w:rPr>
        <w:t>.45</w:t>
      </w:r>
      <w:r>
        <w:rPr>
          <w:rFonts w:hint="eastAsia" w:ascii="仿宋_GB2312" w:eastAsia="仿宋_GB2312" w:cs="DengXian-Regular"/>
          <w:sz w:val="32"/>
          <w:szCs w:val="32"/>
        </w:rPr>
        <w:t>万元。与2017年度决算相比，收支各增加170</w:t>
      </w:r>
      <w:r>
        <w:rPr>
          <w:rFonts w:hint="eastAsia" w:ascii="宋体" w:hAnsi="宋体" w:cs="宋体"/>
          <w:sz w:val="32"/>
          <w:szCs w:val="32"/>
        </w:rPr>
        <w:t>.40</w:t>
      </w:r>
      <w:r>
        <w:rPr>
          <w:rFonts w:hint="eastAsia" w:ascii="仿宋_GB2312" w:eastAsia="仿宋_GB2312" w:cs="DengXian-Regular"/>
          <w:sz w:val="32"/>
          <w:szCs w:val="32"/>
        </w:rPr>
        <w:t>万元，增长8</w:t>
      </w:r>
      <w:r>
        <w:rPr>
          <w:rFonts w:hint="eastAsia" w:ascii="宋体" w:hAnsi="宋体" w:cs="宋体"/>
          <w:sz w:val="32"/>
          <w:szCs w:val="32"/>
        </w:rPr>
        <w:t>.89</w:t>
      </w:r>
      <w:r>
        <w:rPr>
          <w:rFonts w:hint="eastAsia" w:ascii="仿宋_GB2312" w:eastAsia="仿宋_GB2312" w:cs="DengXian-Regular"/>
          <w:sz w:val="32"/>
          <w:szCs w:val="32"/>
        </w:rPr>
        <w:t>%，主要是项目结转结余增加，人员经费增加。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w:t>
      </w:r>
      <w:r>
        <w:rPr>
          <w:rFonts w:hint="eastAsia" w:ascii="宋体" w:hAnsi="宋体" w:cs="宋体"/>
          <w:sz w:val="32"/>
          <w:szCs w:val="32"/>
        </w:rPr>
        <w:t>958.24</w:t>
      </w:r>
      <w:r>
        <w:rPr>
          <w:rFonts w:hint="eastAsia" w:ascii="仿宋_GB2312" w:eastAsia="仿宋_GB2312" w:cs="DengXian-Regular"/>
          <w:sz w:val="32"/>
          <w:szCs w:val="32"/>
        </w:rPr>
        <w:t>万元，其中：财政拨款收入1</w:t>
      </w:r>
      <w:r>
        <w:rPr>
          <w:rFonts w:hint="eastAsia" w:ascii="宋体" w:hAnsi="宋体" w:cs="宋体"/>
          <w:sz w:val="32"/>
          <w:szCs w:val="32"/>
        </w:rPr>
        <w:t>956.24</w:t>
      </w:r>
      <w:r>
        <w:rPr>
          <w:rFonts w:hint="eastAsia" w:ascii="仿宋_GB2312" w:eastAsia="仿宋_GB2312" w:cs="DengXian-Regular"/>
          <w:sz w:val="32"/>
          <w:szCs w:val="32"/>
        </w:rPr>
        <w:t>万元，占</w:t>
      </w:r>
      <w:r>
        <w:rPr>
          <w:rFonts w:hint="eastAsia" w:ascii="宋体" w:hAnsi="宋体" w:cs="宋体"/>
          <w:sz w:val="32"/>
          <w:szCs w:val="32"/>
        </w:rPr>
        <w:t>99.90</w:t>
      </w:r>
      <w:r>
        <w:rPr>
          <w:rFonts w:hint="eastAsia" w:ascii="仿宋_GB2312" w:eastAsia="仿宋_GB2312" w:cs="DengXian-Regular"/>
          <w:sz w:val="32"/>
          <w:szCs w:val="32"/>
        </w:rPr>
        <w:t>%；事业收入0万元，占0%；经营收入0万元，占0%；其他收入2万元，占0</w:t>
      </w:r>
      <w:r>
        <w:rPr>
          <w:rFonts w:hint="eastAsia" w:ascii="宋体" w:hAnsi="宋体" w:cs="宋体"/>
          <w:sz w:val="32"/>
          <w:szCs w:val="32"/>
        </w:rPr>
        <w:t>.10</w:t>
      </w:r>
      <w:r>
        <w:rPr>
          <w:rFonts w:hint="eastAsia" w:ascii="仿宋_GB2312" w:eastAsia="仿宋_GB2312" w:cs="DengXian-Regular"/>
          <w:sz w:val="32"/>
          <w:szCs w:val="32"/>
        </w:rPr>
        <w:t>%。如图所示：</w:t>
      </w:r>
    </w:p>
    <w:p>
      <w:pPr>
        <w:adjustRightInd w:val="0"/>
        <w:snapToGrid w:val="0"/>
        <w:spacing w:line="584" w:lineRule="exact"/>
        <w:jc w:val="center"/>
        <w:rPr>
          <w:rFonts w:eastAsia="仿宋_GB2312"/>
          <w:sz w:val="32"/>
          <w:szCs w:val="32"/>
        </w:rPr>
      </w:pPr>
      <w:r>
        <w:rPr>
          <w:rFonts w:eastAsia="仿宋_GB2312"/>
          <w:sz w:val="32"/>
          <w:szCs w:val="32"/>
        </w:rPr>
        <w:t>图1：收入决算结构饼状图</w:t>
      </w:r>
    </w:p>
    <w:p>
      <w:r>
        <w:rPr>
          <w:rFonts w:ascii="黑体" w:eastAsia="黑体" w:hAnsiTheme="majorHAnsi" w:cstheme="majorBidi"/>
          <w:sz w:val="32"/>
          <w:szCs w:val="32"/>
        </w:rPr>
        <w:drawing>
          <wp:inline distT="0" distB="0" distL="0" distR="0">
            <wp:extent cx="5486400" cy="3200400"/>
            <wp:effectExtent l="19050" t="0" r="1905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本部门2018年度本年支出合计1856</w:t>
      </w:r>
      <w:r>
        <w:rPr>
          <w:rFonts w:hint="eastAsia" w:ascii="宋体" w:hAnsi="宋体" w:cs="宋体"/>
          <w:sz w:val="32"/>
          <w:szCs w:val="32"/>
        </w:rPr>
        <w:t>.07</w:t>
      </w:r>
      <w:r>
        <w:rPr>
          <w:rFonts w:hint="eastAsia" w:ascii="仿宋_GB2312" w:eastAsia="仿宋_GB2312" w:cs="DengXian-Regular"/>
          <w:sz w:val="32"/>
          <w:szCs w:val="32"/>
        </w:rPr>
        <w:t>万元，其中：基本支出1</w:t>
      </w:r>
      <w:r>
        <w:rPr>
          <w:rFonts w:hint="eastAsia" w:ascii="宋体" w:hAnsi="宋体" w:cs="宋体"/>
          <w:sz w:val="32"/>
          <w:szCs w:val="32"/>
        </w:rPr>
        <w:t>488.79</w:t>
      </w:r>
      <w:r>
        <w:rPr>
          <w:rFonts w:hint="eastAsia" w:ascii="仿宋_GB2312" w:eastAsia="仿宋_GB2312" w:cs="DengXian-Regular"/>
          <w:sz w:val="32"/>
          <w:szCs w:val="32"/>
        </w:rPr>
        <w:t>万元，占80%；项目支出367</w:t>
      </w:r>
      <w:r>
        <w:rPr>
          <w:rFonts w:hint="eastAsia" w:ascii="宋体" w:hAnsi="宋体" w:cs="宋体"/>
          <w:sz w:val="32"/>
          <w:szCs w:val="32"/>
        </w:rPr>
        <w:t>.27</w:t>
      </w:r>
      <w:r>
        <w:rPr>
          <w:rFonts w:hint="eastAsia" w:ascii="仿宋_GB2312" w:eastAsia="仿宋_GB2312" w:cs="DengXian-Regular"/>
          <w:sz w:val="32"/>
          <w:szCs w:val="32"/>
        </w:rPr>
        <w:t>万元，占20%；经营支出0万元，占0%。如图所示：</w:t>
      </w:r>
    </w:p>
    <w:p>
      <w:pPr>
        <w:adjustRightInd w:val="0"/>
        <w:snapToGrid w:val="0"/>
        <w:spacing w:after="0" w:line="580" w:lineRule="exact"/>
        <w:jc w:val="center"/>
        <w:rPr>
          <w:rFonts w:eastAsia="仿宋_GB2312"/>
          <w:sz w:val="32"/>
          <w:szCs w:val="32"/>
        </w:rPr>
      </w:pPr>
      <w:r>
        <w:rPr>
          <w:rFonts w:eastAsia="仿宋_GB2312"/>
          <w:sz w:val="32"/>
          <w:szCs w:val="32"/>
        </w:rPr>
        <w:t>图2：支出决算结构饼状图</w:t>
      </w:r>
    </w:p>
    <w:p>
      <w:pPr>
        <w:adjustRightInd w:val="0"/>
        <w:snapToGrid w:val="0"/>
        <w:spacing w:after="0" w:line="580" w:lineRule="exact"/>
        <w:rPr>
          <w:rFonts w:eastAsia="仿宋_GB2312"/>
          <w:sz w:val="32"/>
          <w:szCs w:val="32"/>
        </w:rPr>
      </w:pPr>
      <w:r>
        <w:rPr>
          <w:rFonts w:hint="eastAsia" w:eastAsia="仿宋_GB2312"/>
          <w:sz w:val="32"/>
          <w:szCs w:val="32"/>
        </w:rPr>
        <w:drawing>
          <wp:anchor distT="0" distB="0" distL="114300" distR="114300" simplePos="0" relativeHeight="251658240" behindDoc="0" locked="0" layoutInCell="1" allowOverlap="1">
            <wp:simplePos x="0" y="0"/>
            <wp:positionH relativeFrom="column">
              <wp:posOffset>429895</wp:posOffset>
            </wp:positionH>
            <wp:positionV relativeFrom="paragraph">
              <wp:posOffset>125095</wp:posOffset>
            </wp:positionV>
            <wp:extent cx="4679950" cy="3200400"/>
            <wp:effectExtent l="19050" t="0" r="25400" b="0"/>
            <wp:wrapSquare wrapText="bothSides"/>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pPr>
        <w:adjustRightInd w:val="0"/>
        <w:snapToGrid w:val="0"/>
        <w:spacing w:after="0" w:line="580" w:lineRule="exact"/>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w:t>
      </w:r>
      <w:r>
        <w:rPr>
          <w:rFonts w:hint="eastAsia" w:ascii="宋体" w:hAnsi="宋体" w:cs="宋体"/>
          <w:sz w:val="32"/>
          <w:szCs w:val="32"/>
        </w:rPr>
        <w:t>956.24</w:t>
      </w:r>
      <w:r>
        <w:rPr>
          <w:rFonts w:hint="eastAsia" w:ascii="仿宋_GB2312" w:eastAsia="仿宋_GB2312" w:cs="DengXian-Regular"/>
          <w:sz w:val="32"/>
          <w:szCs w:val="32"/>
        </w:rPr>
        <w:t>万元,比2017年度增加</w:t>
      </w:r>
      <w:r>
        <w:rPr>
          <w:rFonts w:hint="eastAsia" w:ascii="宋体" w:hAnsi="宋体" w:cs="宋体"/>
          <w:sz w:val="32"/>
          <w:szCs w:val="32"/>
        </w:rPr>
        <w:t>93.69</w:t>
      </w:r>
      <w:r>
        <w:rPr>
          <w:rFonts w:hint="eastAsia" w:ascii="仿宋_GB2312" w:eastAsia="仿宋_GB2312" w:cs="DengXian-Regular"/>
          <w:sz w:val="32"/>
          <w:szCs w:val="32"/>
        </w:rPr>
        <w:t>万元，增长5</w:t>
      </w:r>
      <w:r>
        <w:rPr>
          <w:rFonts w:hint="eastAsia" w:ascii="宋体" w:hAnsi="宋体" w:cs="宋体"/>
          <w:sz w:val="32"/>
          <w:szCs w:val="32"/>
        </w:rPr>
        <w:t>.03</w:t>
      </w:r>
      <w:r>
        <w:rPr>
          <w:rFonts w:hint="eastAsia" w:ascii="仿宋_GB2312" w:eastAsia="仿宋_GB2312" w:cs="DengXian-Regular"/>
          <w:sz w:val="32"/>
          <w:szCs w:val="32"/>
        </w:rPr>
        <w:t>%，主要是人员增资；本年支出1856</w:t>
      </w:r>
      <w:r>
        <w:rPr>
          <w:rFonts w:hint="eastAsia" w:ascii="宋体" w:hAnsi="宋体" w:cs="宋体"/>
          <w:sz w:val="32"/>
          <w:szCs w:val="32"/>
        </w:rPr>
        <w:t>.07</w:t>
      </w:r>
      <w:r>
        <w:rPr>
          <w:rFonts w:hint="eastAsia" w:ascii="仿宋_GB2312" w:eastAsia="仿宋_GB2312" w:cs="DengXian-Regular"/>
          <w:sz w:val="32"/>
          <w:szCs w:val="32"/>
        </w:rPr>
        <w:t>万元，增加</w:t>
      </w:r>
      <w:r>
        <w:rPr>
          <w:rFonts w:hint="eastAsia" w:ascii="宋体" w:hAnsi="宋体" w:cs="宋体"/>
          <w:sz w:val="32"/>
          <w:szCs w:val="32"/>
        </w:rPr>
        <w:t>98.94</w:t>
      </w:r>
      <w:r>
        <w:rPr>
          <w:rFonts w:hint="eastAsia" w:ascii="仿宋_GB2312" w:eastAsia="仿宋_GB2312" w:cs="DengXian-Regular"/>
          <w:sz w:val="32"/>
          <w:szCs w:val="32"/>
        </w:rPr>
        <w:t>万元，增长5</w:t>
      </w:r>
      <w:r>
        <w:rPr>
          <w:rFonts w:hint="eastAsia" w:ascii="宋体" w:hAnsi="宋体" w:cs="宋体"/>
          <w:sz w:val="32"/>
          <w:szCs w:val="32"/>
        </w:rPr>
        <w:t>.63</w:t>
      </w:r>
      <w:r>
        <w:rPr>
          <w:rFonts w:hint="eastAsia" w:ascii="仿宋_GB2312" w:eastAsia="仿宋_GB2312" w:cs="DengXian-Regular"/>
          <w:sz w:val="32"/>
          <w:szCs w:val="32"/>
        </w:rPr>
        <w:t>%，主要是人员增资支出。</w:t>
      </w: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p>
    <w:p>
      <w:pPr>
        <w:adjustRightInd w:val="0"/>
        <w:snapToGrid w:val="0"/>
        <w:spacing w:after="0" w:line="580" w:lineRule="exact"/>
        <w:jc w:val="center"/>
        <w:rPr>
          <w:rFonts w:eastAsia="仿宋_GB2312"/>
          <w:sz w:val="32"/>
          <w:szCs w:val="32"/>
        </w:rPr>
      </w:pPr>
      <w:r>
        <w:rPr>
          <w:rFonts w:hint="eastAsia" w:eastAsia="仿宋_GB2312"/>
          <w:sz w:val="32"/>
          <w:szCs w:val="32"/>
        </w:rPr>
        <w:t>图3：财政拨款收支情况</w:t>
      </w:r>
    </w:p>
    <w:p>
      <w:pPr>
        <w:adjustRightInd w:val="0"/>
        <w:snapToGrid w:val="0"/>
        <w:spacing w:after="0" w:line="580" w:lineRule="exact"/>
        <w:jc w:val="center"/>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59264" behindDoc="0" locked="0" layoutInCell="1" allowOverlap="1">
            <wp:simplePos x="0" y="0"/>
            <wp:positionH relativeFrom="margin">
              <wp:posOffset>258445</wp:posOffset>
            </wp:positionH>
            <wp:positionV relativeFrom="margin">
              <wp:posOffset>658495</wp:posOffset>
            </wp:positionV>
            <wp:extent cx="5429250" cy="3552825"/>
            <wp:effectExtent l="19050" t="0" r="19050" b="0"/>
            <wp:wrapSquare wrapText="bothSides"/>
            <wp:docPr id="1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本部门2018年度一般公共预算财政拨款收入1</w:t>
      </w:r>
      <w:r>
        <w:rPr>
          <w:rFonts w:hint="eastAsia" w:ascii="宋体" w:hAnsi="宋体" w:cs="宋体"/>
          <w:sz w:val="32"/>
          <w:szCs w:val="32"/>
        </w:rPr>
        <w:t>956.24</w:t>
      </w:r>
      <w:r>
        <w:rPr>
          <w:rFonts w:hint="eastAsia" w:ascii="仿宋_GB2312" w:eastAsia="仿宋_GB2312" w:cs="DengXian-Regular"/>
          <w:sz w:val="32"/>
          <w:szCs w:val="32"/>
        </w:rPr>
        <w:t>万元，完成年初预算的105</w:t>
      </w:r>
      <w:r>
        <w:rPr>
          <w:rFonts w:hint="eastAsia" w:ascii="宋体" w:hAnsi="宋体" w:cs="宋体"/>
          <w:sz w:val="32"/>
          <w:szCs w:val="32"/>
        </w:rPr>
        <w:t>.96</w:t>
      </w:r>
      <w:r>
        <w:rPr>
          <w:rFonts w:hint="eastAsia" w:ascii="仿宋_GB2312" w:eastAsia="仿宋_GB2312" w:cs="DengXian-Regular"/>
          <w:sz w:val="32"/>
          <w:szCs w:val="32"/>
        </w:rPr>
        <w:t>%,比年初预算增加110</w:t>
      </w:r>
      <w:r>
        <w:rPr>
          <w:rFonts w:hint="eastAsia" w:ascii="宋体" w:hAnsi="宋体" w:cs="宋体"/>
          <w:sz w:val="32"/>
          <w:szCs w:val="32"/>
        </w:rPr>
        <w:t>.12</w:t>
      </w:r>
      <w:r>
        <w:rPr>
          <w:rFonts w:hint="eastAsia" w:ascii="仿宋_GB2312" w:eastAsia="仿宋_GB2312" w:cs="DengXian-Regular"/>
          <w:sz w:val="32"/>
          <w:szCs w:val="32"/>
        </w:rPr>
        <w:t>万元，决算数大于预算数主要是人员增资；本年支出1856</w:t>
      </w:r>
      <w:r>
        <w:rPr>
          <w:rFonts w:hint="eastAsia" w:ascii="宋体" w:hAnsi="宋体" w:cs="宋体"/>
          <w:sz w:val="32"/>
          <w:szCs w:val="32"/>
        </w:rPr>
        <w:t>.07</w:t>
      </w:r>
      <w:r>
        <w:rPr>
          <w:rFonts w:hint="eastAsia" w:ascii="仿宋_GB2312" w:eastAsia="仿宋_GB2312" w:cs="DengXian-Regular"/>
          <w:sz w:val="32"/>
          <w:szCs w:val="32"/>
        </w:rPr>
        <w:t>万元，完成年初预算的100</w:t>
      </w:r>
      <w:r>
        <w:rPr>
          <w:rFonts w:hint="eastAsia" w:ascii="宋体" w:hAnsi="宋体" w:cs="宋体"/>
          <w:sz w:val="32"/>
          <w:szCs w:val="32"/>
        </w:rPr>
        <w:t>.54</w:t>
      </w:r>
      <w:r>
        <w:rPr>
          <w:rFonts w:hint="eastAsia" w:ascii="仿宋_GB2312" w:eastAsia="仿宋_GB2312" w:cs="DengXian-Regular"/>
          <w:sz w:val="32"/>
          <w:szCs w:val="32"/>
        </w:rPr>
        <w:t>%,比年初预算增加</w:t>
      </w:r>
      <w:r>
        <w:rPr>
          <w:rFonts w:hint="eastAsia" w:ascii="宋体" w:hAnsi="宋体" w:cs="宋体"/>
          <w:sz w:val="32"/>
          <w:szCs w:val="32"/>
        </w:rPr>
        <w:t>9.95</w:t>
      </w:r>
      <w:r>
        <w:rPr>
          <w:rFonts w:hint="eastAsia" w:ascii="仿宋_GB2312" w:eastAsia="仿宋_GB2312" w:cs="DengXian-Regular"/>
          <w:sz w:val="32"/>
          <w:szCs w:val="32"/>
        </w:rPr>
        <w:t>万元，决算数大于预算数主要是人员增资支出。</w:t>
      </w:r>
    </w:p>
    <w:p>
      <w:pPr>
        <w:adjustRightInd w:val="0"/>
        <w:snapToGrid w:val="0"/>
        <w:spacing w:after="0" w:line="580" w:lineRule="exact"/>
        <w:jc w:val="center"/>
        <w:rPr>
          <w:rFonts w:ascii="仿宋_GB2312" w:eastAsia="仿宋_GB2312" w:cs="DengXian-Regular"/>
          <w:sz w:val="24"/>
        </w:rPr>
      </w:pPr>
      <w:r>
        <w:rPr>
          <w:rFonts w:hint="eastAsia" w:eastAsia="仿宋_GB2312"/>
          <w:sz w:val="32"/>
          <w:szCs w:val="32"/>
        </w:rPr>
        <w:t>图4：财政拨款收支预决算对比情况</w: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60288" behindDoc="0" locked="0" layoutInCell="1" allowOverlap="1">
            <wp:simplePos x="0" y="0"/>
            <wp:positionH relativeFrom="margin">
              <wp:posOffset>45720</wp:posOffset>
            </wp:positionH>
            <wp:positionV relativeFrom="margin">
              <wp:posOffset>323850</wp:posOffset>
            </wp:positionV>
            <wp:extent cx="5486400" cy="3200400"/>
            <wp:effectExtent l="19050" t="0" r="19050" b="0"/>
            <wp:wrapSquare wrapText="bothSides"/>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年度财政拨款支出1856</w:t>
      </w:r>
      <w:r>
        <w:rPr>
          <w:rFonts w:hint="eastAsia" w:ascii="宋体" w:hAnsi="宋体" w:cs="宋体"/>
          <w:sz w:val="32"/>
          <w:szCs w:val="32"/>
        </w:rPr>
        <w:t>.07</w:t>
      </w:r>
      <w:r>
        <w:rPr>
          <w:rFonts w:hint="eastAsia" w:ascii="仿宋_GB2312" w:eastAsia="仿宋_GB2312" w:cs="DengXian-Regular"/>
          <w:sz w:val="32"/>
          <w:szCs w:val="32"/>
        </w:rPr>
        <w:t>万元，主要用于以下方面一般公共服务（类）支出16</w:t>
      </w:r>
      <w:r>
        <w:rPr>
          <w:rFonts w:hint="eastAsia" w:ascii="宋体" w:hAnsi="宋体" w:cs="宋体"/>
          <w:sz w:val="32"/>
          <w:szCs w:val="32"/>
        </w:rPr>
        <w:t>42.77</w:t>
      </w:r>
      <w:r>
        <w:rPr>
          <w:rFonts w:hint="eastAsia" w:ascii="仿宋_GB2312" w:eastAsia="仿宋_GB2312" w:cs="DengXian-Regular"/>
          <w:sz w:val="32"/>
          <w:szCs w:val="32"/>
        </w:rPr>
        <w:t>万元，占88</w:t>
      </w:r>
      <w:r>
        <w:rPr>
          <w:rFonts w:hint="eastAsia" w:ascii="宋体" w:hAnsi="宋体" w:cs="宋体"/>
          <w:sz w:val="32"/>
          <w:szCs w:val="32"/>
        </w:rPr>
        <w:t>.51</w:t>
      </w:r>
      <w:r>
        <w:rPr>
          <w:rFonts w:hint="eastAsia" w:ascii="仿宋_GB2312" w:eastAsia="仿宋_GB2312" w:cs="DengXian-Regular"/>
          <w:sz w:val="32"/>
          <w:szCs w:val="32"/>
        </w:rPr>
        <w:t>%；社会保障和就业（类）支出108</w:t>
      </w:r>
      <w:r>
        <w:rPr>
          <w:rFonts w:hint="eastAsia" w:ascii="宋体" w:hAnsi="宋体" w:cs="宋体"/>
          <w:sz w:val="32"/>
          <w:szCs w:val="32"/>
        </w:rPr>
        <w:t>.17</w:t>
      </w:r>
      <w:r>
        <w:rPr>
          <w:rFonts w:hint="eastAsia" w:ascii="仿宋_GB2312" w:eastAsia="仿宋_GB2312" w:cs="DengXian-Regular"/>
          <w:sz w:val="32"/>
          <w:szCs w:val="32"/>
        </w:rPr>
        <w:t>万元，占5</w:t>
      </w:r>
      <w:r>
        <w:rPr>
          <w:rFonts w:hint="eastAsia" w:ascii="宋体" w:hAnsi="宋体" w:cs="宋体"/>
          <w:sz w:val="32"/>
          <w:szCs w:val="32"/>
        </w:rPr>
        <w:t>.83</w:t>
      </w:r>
      <w:r>
        <w:rPr>
          <w:rFonts w:hint="eastAsia" w:ascii="仿宋_GB2312" w:eastAsia="仿宋_GB2312" w:cs="DengXian-Regular"/>
          <w:sz w:val="32"/>
          <w:szCs w:val="32"/>
        </w:rPr>
        <w:t>%；医疗卫生与计划生育（类）支出38</w:t>
      </w:r>
      <w:r>
        <w:rPr>
          <w:rFonts w:hint="eastAsia" w:ascii="宋体" w:hAnsi="宋体" w:cs="宋体"/>
          <w:sz w:val="32"/>
          <w:szCs w:val="32"/>
        </w:rPr>
        <w:t>.84</w:t>
      </w:r>
      <w:r>
        <w:rPr>
          <w:rFonts w:hint="eastAsia" w:ascii="仿宋_GB2312" w:eastAsia="仿宋_GB2312" w:cs="DengXian-Regular"/>
          <w:sz w:val="32"/>
          <w:szCs w:val="32"/>
        </w:rPr>
        <w:t>万元，占2</w:t>
      </w:r>
      <w:r>
        <w:rPr>
          <w:rFonts w:hint="eastAsia" w:ascii="宋体" w:hAnsi="宋体" w:cs="宋体"/>
          <w:sz w:val="32"/>
          <w:szCs w:val="32"/>
        </w:rPr>
        <w:t>.09</w:t>
      </w:r>
      <w:r>
        <w:rPr>
          <w:rFonts w:hint="eastAsia" w:ascii="仿宋_GB2312" w:eastAsia="仿宋_GB2312" w:cs="DengXian-Regular"/>
          <w:sz w:val="32"/>
          <w:szCs w:val="32"/>
        </w:rPr>
        <w:t>%；</w:t>
      </w:r>
      <w:r>
        <w:rPr>
          <w:rFonts w:hint="eastAsia" w:ascii="宋体" w:hAnsi="宋体" w:cs="宋体"/>
          <w:sz w:val="32"/>
          <w:szCs w:val="32"/>
        </w:rPr>
        <w:t>农林水</w:t>
      </w:r>
      <w:r>
        <w:rPr>
          <w:rFonts w:hint="eastAsia" w:ascii="仿宋_GB2312" w:eastAsia="仿宋_GB2312" w:cs="DengXian-Regular"/>
          <w:sz w:val="32"/>
          <w:szCs w:val="32"/>
        </w:rPr>
        <w:t>（类）支出1</w:t>
      </w:r>
      <w:r>
        <w:rPr>
          <w:rFonts w:hint="eastAsia" w:ascii="宋体" w:hAnsi="宋体" w:cs="宋体"/>
          <w:sz w:val="32"/>
          <w:szCs w:val="32"/>
        </w:rPr>
        <w:t>.38</w:t>
      </w:r>
      <w:r>
        <w:rPr>
          <w:rFonts w:hint="eastAsia" w:ascii="仿宋_GB2312" w:eastAsia="仿宋_GB2312" w:cs="DengXian-Regular"/>
          <w:sz w:val="32"/>
          <w:szCs w:val="32"/>
        </w:rPr>
        <w:t>万元，占 0</w:t>
      </w:r>
      <w:r>
        <w:rPr>
          <w:rFonts w:hint="eastAsia" w:ascii="宋体" w:hAnsi="宋体" w:cs="宋体"/>
          <w:sz w:val="32"/>
          <w:szCs w:val="32"/>
        </w:rPr>
        <w:t>.07</w:t>
      </w:r>
      <w:r>
        <w:rPr>
          <w:rFonts w:hint="eastAsia" w:ascii="仿宋_GB2312" w:eastAsia="仿宋_GB2312" w:cs="DengXian-Regular"/>
          <w:sz w:val="32"/>
          <w:szCs w:val="32"/>
        </w:rPr>
        <w:t>%；住房保障（类）支出 6</w:t>
      </w:r>
      <w:r>
        <w:rPr>
          <w:rFonts w:hint="eastAsia" w:ascii="宋体" w:hAnsi="宋体" w:cs="宋体"/>
          <w:sz w:val="32"/>
          <w:szCs w:val="32"/>
        </w:rPr>
        <w:t>4.90</w:t>
      </w:r>
      <w:r>
        <w:rPr>
          <w:rFonts w:hint="eastAsia" w:ascii="仿宋_GB2312" w:eastAsia="仿宋_GB2312" w:cs="DengXian-Regular"/>
          <w:sz w:val="32"/>
          <w:szCs w:val="32"/>
        </w:rPr>
        <w:t>万元，占3</w:t>
      </w:r>
      <w:r>
        <w:rPr>
          <w:rFonts w:hint="eastAsia" w:ascii="宋体" w:hAnsi="宋体" w:cs="宋体"/>
          <w:sz w:val="32"/>
          <w:szCs w:val="32"/>
        </w:rPr>
        <w:t>.50</w:t>
      </w:r>
      <w:r>
        <w:rPr>
          <w:rFonts w:hint="eastAsia" w:ascii="仿宋_GB2312" w:eastAsia="仿宋_GB2312" w:cs="DengXian-Regular"/>
          <w:sz w:val="32"/>
          <w:szCs w:val="32"/>
        </w:rPr>
        <w:t>%。</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ascii="楷体_GB2312" w:eastAsia="楷体_GB2312" w:cs="DengXian-Bold"/>
          <w:b/>
          <w:bCs/>
          <w:sz w:val="32"/>
          <w:szCs w:val="32"/>
        </w:rPr>
        <w:drawing>
          <wp:anchor distT="0" distB="0" distL="114300" distR="114300" simplePos="0" relativeHeight="251661312" behindDoc="1" locked="0" layoutInCell="1" allowOverlap="1">
            <wp:simplePos x="0" y="0"/>
            <wp:positionH relativeFrom="column">
              <wp:posOffset>287020</wp:posOffset>
            </wp:positionH>
            <wp:positionV relativeFrom="paragraph">
              <wp:posOffset>-2907030</wp:posOffset>
            </wp:positionV>
            <wp:extent cx="5486400" cy="3200400"/>
            <wp:effectExtent l="19050" t="0" r="19050" b="0"/>
            <wp:wrapNone/>
            <wp:docPr id="20"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w:t>
      </w:r>
      <w:r>
        <w:rPr>
          <w:rFonts w:hint="eastAsia" w:ascii="宋体" w:hAnsi="宋体" w:cs="宋体"/>
          <w:sz w:val="32"/>
          <w:szCs w:val="32"/>
        </w:rPr>
        <w:t>488.79</w:t>
      </w:r>
      <w:r>
        <w:rPr>
          <w:rFonts w:hint="eastAsia" w:ascii="仿宋_GB2312" w:eastAsia="仿宋_GB2312" w:cs="DengXian-Regular"/>
          <w:sz w:val="32"/>
          <w:szCs w:val="32"/>
        </w:rPr>
        <w:t>万元，其中：人员经费12</w:t>
      </w:r>
      <w:r>
        <w:rPr>
          <w:rFonts w:hint="eastAsia" w:ascii="宋体" w:hAnsi="宋体" w:cs="宋体"/>
          <w:sz w:val="32"/>
          <w:szCs w:val="32"/>
        </w:rPr>
        <w:t>98.46</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1</w:t>
      </w:r>
      <w:r>
        <w:rPr>
          <w:rFonts w:hint="eastAsia" w:ascii="宋体" w:hAnsi="宋体" w:cs="宋体"/>
          <w:sz w:val="32"/>
          <w:szCs w:val="32"/>
        </w:rPr>
        <w:t>90.33</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eastAsia="仿宋_GB2312"/>
          <w:sz w:val="32"/>
          <w:szCs w:val="32"/>
          <w:highlight w:val="yellow"/>
        </w:rPr>
      </w:pPr>
      <w:r>
        <w:rPr>
          <w:rFonts w:eastAsia="仿宋_GB2312"/>
          <w:sz w:val="32"/>
          <w:szCs w:val="32"/>
        </w:rPr>
        <w:t>本部门201</w:t>
      </w:r>
      <w:r>
        <w:rPr>
          <w:rFonts w:hint="eastAsia" w:eastAsia="仿宋_GB2312"/>
          <w:sz w:val="32"/>
          <w:szCs w:val="32"/>
        </w:rPr>
        <w:t>8</w:t>
      </w:r>
      <w:r>
        <w:rPr>
          <w:rFonts w:eastAsia="仿宋_GB2312"/>
          <w:sz w:val="32"/>
          <w:szCs w:val="32"/>
        </w:rPr>
        <w:t>年度一般公共预算财政拨款“三公”经费支出共计</w:t>
      </w:r>
      <w:r>
        <w:rPr>
          <w:rFonts w:hint="eastAsia" w:eastAsia="仿宋_GB2312"/>
          <w:sz w:val="32"/>
          <w:szCs w:val="32"/>
        </w:rPr>
        <w:t>10.83</w:t>
      </w:r>
      <w:r>
        <w:rPr>
          <w:rFonts w:eastAsia="仿宋_GB2312"/>
          <w:sz w:val="32"/>
          <w:szCs w:val="32"/>
        </w:rPr>
        <w:t>万元，</w:t>
      </w:r>
      <w:r>
        <w:rPr>
          <w:rFonts w:hint="eastAsia" w:eastAsia="仿宋_GB2312"/>
          <w:sz w:val="32"/>
          <w:szCs w:val="32"/>
        </w:rPr>
        <w:t>比</w:t>
      </w:r>
      <w:r>
        <w:rPr>
          <w:rFonts w:eastAsia="仿宋_GB2312"/>
          <w:sz w:val="32"/>
          <w:szCs w:val="32"/>
        </w:rPr>
        <w:t>年初预算减少</w:t>
      </w:r>
      <w:r>
        <w:rPr>
          <w:rFonts w:hint="eastAsia" w:eastAsia="仿宋_GB2312"/>
          <w:sz w:val="32"/>
          <w:szCs w:val="32"/>
        </w:rPr>
        <w:t>0.01</w:t>
      </w:r>
      <w:r>
        <w:rPr>
          <w:rFonts w:eastAsia="仿宋_GB2312"/>
          <w:sz w:val="32"/>
          <w:szCs w:val="32"/>
        </w:rPr>
        <w:t>万元，降低</w:t>
      </w:r>
      <w:r>
        <w:rPr>
          <w:rFonts w:hint="eastAsia" w:eastAsia="仿宋_GB2312"/>
          <w:sz w:val="32"/>
          <w:szCs w:val="32"/>
        </w:rPr>
        <w:t>1</w:t>
      </w:r>
      <w:r>
        <w:rPr>
          <w:rFonts w:eastAsia="仿宋_GB2312"/>
          <w:sz w:val="32"/>
          <w:szCs w:val="32"/>
        </w:rPr>
        <w:t>%，主要是</w:t>
      </w:r>
      <w:r>
        <w:rPr>
          <w:rFonts w:hint="eastAsia" w:eastAsia="仿宋_GB2312"/>
          <w:sz w:val="32"/>
          <w:szCs w:val="32"/>
        </w:rPr>
        <w:t>公务接待费减少</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0.93</w:t>
      </w:r>
      <w:r>
        <w:rPr>
          <w:rFonts w:eastAsia="仿宋_GB2312"/>
          <w:sz w:val="32"/>
          <w:szCs w:val="32"/>
        </w:rPr>
        <w:t>万元，增长</w:t>
      </w:r>
      <w:r>
        <w:rPr>
          <w:rFonts w:hint="eastAsia" w:ascii="宋体" w:hAnsi="宋体" w:cs="宋体"/>
          <w:sz w:val="32"/>
          <w:szCs w:val="32"/>
        </w:rPr>
        <w:t>9.39</w:t>
      </w:r>
      <w:r>
        <w:rPr>
          <w:rFonts w:eastAsia="仿宋_GB2312"/>
          <w:sz w:val="32"/>
          <w:szCs w:val="32"/>
        </w:rPr>
        <w:t>%，主要是</w:t>
      </w:r>
      <w:r>
        <w:rPr>
          <w:rFonts w:hint="eastAsia" w:eastAsia="仿宋_GB2312"/>
          <w:sz w:val="32"/>
          <w:szCs w:val="32"/>
        </w:rPr>
        <w:t>公务接待增加</w:t>
      </w:r>
      <w:r>
        <w:rPr>
          <w:rFonts w:eastAsia="仿宋_GB2312"/>
          <w:sz w:val="32"/>
          <w:szCs w:val="32"/>
        </w:rPr>
        <w:t>。具体情况如下：</w:t>
      </w:r>
    </w:p>
    <w:p>
      <w:pPr>
        <w:adjustRightInd w:val="0"/>
        <w:snapToGrid w:val="0"/>
        <w:spacing w:line="584" w:lineRule="exact"/>
        <w:ind w:firstLine="643" w:firstLineChars="200"/>
        <w:rPr>
          <w:rFonts w:eastAsia="仿宋_GB2312"/>
          <w:sz w:val="32"/>
          <w:szCs w:val="32"/>
          <w:highlight w:val="yellow"/>
        </w:rPr>
      </w:pPr>
      <w:r>
        <w:rPr>
          <w:rFonts w:eastAsia="楷体_GB2312"/>
          <w:b/>
          <w:bCs/>
          <w:sz w:val="32"/>
          <w:szCs w:val="32"/>
        </w:rPr>
        <w:t>（一）因公出国（境）费支出</w:t>
      </w:r>
      <w:r>
        <w:rPr>
          <w:rFonts w:hint="eastAsia" w:eastAsia="楷体_GB2312"/>
          <w:b/>
          <w:bCs/>
          <w:sz w:val="32"/>
          <w:szCs w:val="32"/>
        </w:rPr>
        <w:t>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w:t>
      </w:r>
      <w:r>
        <w:rPr>
          <w:rFonts w:hint="eastAsia" w:ascii="仿宋_GB2312" w:eastAsia="仿宋_GB2312" w:cs="DengXian-Regular"/>
          <w:sz w:val="32"/>
          <w:szCs w:val="32"/>
        </w:rPr>
        <w:t>因公出国（境）团组0个、共0人/参加其他单位组织的因公出国（境）团组0个、共0人/无本单位组织的出国（境）团组。</w:t>
      </w:r>
      <w:r>
        <w:rPr>
          <w:rFonts w:eastAsia="仿宋_GB2312"/>
          <w:sz w:val="32"/>
          <w:szCs w:val="32"/>
        </w:rPr>
        <w:t>因公出国（境）费支出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w:t>
      </w:r>
    </w:p>
    <w:p>
      <w:pPr>
        <w:adjustRightInd w:val="0"/>
        <w:snapToGrid w:val="0"/>
        <w:spacing w:line="584" w:lineRule="exact"/>
        <w:ind w:firstLine="643" w:firstLineChars="200"/>
        <w:rPr>
          <w:rFonts w:eastAsia="仿宋_GB2312"/>
          <w:b/>
          <w:bCs/>
          <w:sz w:val="32"/>
          <w:szCs w:val="32"/>
        </w:rPr>
      </w:pPr>
      <w:r>
        <w:rPr>
          <w:rFonts w:eastAsia="楷体_GB2312"/>
          <w:b/>
          <w:bCs/>
          <w:sz w:val="32"/>
          <w:szCs w:val="32"/>
        </w:rPr>
        <w:t>（二）公务用车购置及运行维护费支出</w:t>
      </w:r>
      <w:r>
        <w:rPr>
          <w:rFonts w:hint="eastAsia" w:eastAsia="楷体_GB2312"/>
          <w:b/>
          <w:bCs/>
          <w:sz w:val="32"/>
          <w:szCs w:val="32"/>
        </w:rPr>
        <w:t>10</w:t>
      </w:r>
      <w:r>
        <w:rPr>
          <w:rFonts w:eastAsia="楷体_GB2312"/>
          <w:b/>
          <w:bCs/>
          <w:sz w:val="32"/>
          <w:szCs w:val="32"/>
        </w:rPr>
        <w:t>万元。</w:t>
      </w:r>
      <w:r>
        <w:rPr>
          <w:rFonts w:hint="eastAsia" w:ascii="仿宋_GB2312" w:eastAsia="仿宋_GB2312" w:cs="DengXian-Regular"/>
          <w:sz w:val="32"/>
          <w:szCs w:val="32"/>
        </w:rPr>
        <w:t>本部门2018年度公务用车购置及运行维护费与年初预算持平；</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0.14</w:t>
      </w:r>
      <w:r>
        <w:rPr>
          <w:rFonts w:eastAsia="仿宋_GB2312"/>
          <w:sz w:val="32"/>
          <w:szCs w:val="32"/>
        </w:rPr>
        <w:t>万元，增长</w:t>
      </w:r>
      <w:r>
        <w:rPr>
          <w:rFonts w:hint="eastAsia" w:eastAsia="仿宋_GB2312"/>
          <w:sz w:val="32"/>
          <w:szCs w:val="32"/>
        </w:rPr>
        <w:t>1.41</w:t>
      </w:r>
      <w:r>
        <w:rPr>
          <w:rFonts w:eastAsia="仿宋_GB2312"/>
          <w:sz w:val="32"/>
          <w:szCs w:val="32"/>
        </w:rPr>
        <w:t>%，主要是</w:t>
      </w:r>
      <w:r>
        <w:rPr>
          <w:rFonts w:hint="eastAsia" w:eastAsia="仿宋_GB2312"/>
          <w:sz w:val="32"/>
          <w:szCs w:val="32"/>
        </w:rPr>
        <w:t>公务用车运行维护费增加</w:t>
      </w:r>
      <w:r>
        <w:rPr>
          <w:rFonts w:eastAsia="仿宋_GB2312"/>
          <w:sz w:val="32"/>
          <w:szCs w:val="32"/>
        </w:rPr>
        <w:t>。</w:t>
      </w:r>
      <w:r>
        <w:rPr>
          <w:rFonts w:eastAsia="仿宋_GB2312"/>
          <w:b/>
          <w:bCs/>
          <w:sz w:val="32"/>
          <w:szCs w:val="32"/>
        </w:rPr>
        <w:t>其中：</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公务用车购置费支出</w:t>
      </w:r>
      <w:r>
        <w:rPr>
          <w:rFonts w:hint="eastAsia" w:eastAsia="仿宋_GB2312"/>
          <w:b/>
          <w:sz w:val="32"/>
          <w:szCs w:val="32"/>
        </w:rPr>
        <w:t>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年度公务用车购置数量</w:t>
      </w:r>
      <w:r>
        <w:rPr>
          <w:rFonts w:hint="eastAsia" w:eastAsia="仿宋_GB2312"/>
          <w:sz w:val="32"/>
          <w:szCs w:val="32"/>
        </w:rPr>
        <w:t>0</w:t>
      </w:r>
      <w:r>
        <w:rPr>
          <w:rFonts w:eastAsia="仿宋_GB2312"/>
          <w:sz w:val="32"/>
          <w:szCs w:val="32"/>
        </w:rPr>
        <w:t>辆。公务用车购置费支出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公务用车运行维护费支出</w:t>
      </w:r>
      <w:r>
        <w:rPr>
          <w:rFonts w:hint="eastAsia" w:eastAsia="仿宋_GB2312"/>
          <w:b/>
          <w:sz w:val="32"/>
          <w:szCs w:val="32"/>
        </w:rPr>
        <w:t>10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年末单位公务用车保有量</w:t>
      </w:r>
      <w:r>
        <w:rPr>
          <w:rFonts w:hint="eastAsia" w:eastAsia="仿宋_GB2312"/>
          <w:sz w:val="32"/>
          <w:szCs w:val="32"/>
        </w:rPr>
        <w:t>4</w:t>
      </w:r>
      <w:r>
        <w:rPr>
          <w:rFonts w:eastAsia="仿宋_GB2312"/>
          <w:sz w:val="32"/>
          <w:szCs w:val="32"/>
        </w:rPr>
        <w:t>辆。公车运行维护费支出</w:t>
      </w:r>
      <w:r>
        <w:rPr>
          <w:rFonts w:hint="eastAsia" w:eastAsia="仿宋_GB2312"/>
          <w:sz w:val="32"/>
          <w:szCs w:val="32"/>
        </w:rPr>
        <w:t>与</w:t>
      </w:r>
      <w:r>
        <w:rPr>
          <w:rFonts w:eastAsia="仿宋_GB2312"/>
          <w:sz w:val="32"/>
          <w:szCs w:val="32"/>
        </w:rPr>
        <w:t>年初预算</w:t>
      </w:r>
      <w:r>
        <w:rPr>
          <w:rFonts w:hint="eastAsia" w:eastAsia="仿宋_GB2312"/>
          <w:sz w:val="32"/>
          <w:szCs w:val="32"/>
        </w:rPr>
        <w:t>持平</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0.14</w:t>
      </w:r>
      <w:r>
        <w:rPr>
          <w:rFonts w:eastAsia="仿宋_GB2312"/>
          <w:sz w:val="32"/>
          <w:szCs w:val="32"/>
        </w:rPr>
        <w:t>万元，增长</w:t>
      </w:r>
      <w:r>
        <w:rPr>
          <w:rFonts w:hint="eastAsia" w:eastAsia="仿宋_GB2312"/>
          <w:sz w:val="32"/>
          <w:szCs w:val="32"/>
        </w:rPr>
        <w:t>1.41</w:t>
      </w:r>
      <w:r>
        <w:rPr>
          <w:rFonts w:eastAsia="仿宋_GB2312"/>
          <w:sz w:val="32"/>
          <w:szCs w:val="32"/>
        </w:rPr>
        <w:t>%，主要是</w:t>
      </w:r>
      <w:r>
        <w:rPr>
          <w:rFonts w:hint="eastAsia" w:eastAsia="仿宋_GB2312"/>
          <w:sz w:val="32"/>
          <w:szCs w:val="32"/>
        </w:rPr>
        <w:t>公务用车运行维护费增加</w:t>
      </w:r>
      <w:r>
        <w:rPr>
          <w:rFonts w:eastAsia="仿宋_GB2312"/>
          <w:sz w:val="32"/>
          <w:szCs w:val="32"/>
        </w:rPr>
        <w:t>。</w:t>
      </w:r>
    </w:p>
    <w:p>
      <w:pPr>
        <w:adjustRightInd w:val="0"/>
        <w:snapToGrid w:val="0"/>
        <w:spacing w:line="584" w:lineRule="exact"/>
        <w:ind w:firstLine="643" w:firstLineChars="200"/>
        <w:rPr>
          <w:rFonts w:eastAsia="仿宋_GB2312"/>
          <w:sz w:val="32"/>
          <w:szCs w:val="32"/>
          <w:highlight w:val="yellow"/>
        </w:rPr>
      </w:pPr>
      <w:r>
        <w:rPr>
          <w:rFonts w:eastAsia="楷体_GB2312"/>
          <w:b/>
          <w:bCs/>
          <w:sz w:val="32"/>
          <w:szCs w:val="32"/>
        </w:rPr>
        <w:t>（三）公务接待费支出</w:t>
      </w:r>
      <w:r>
        <w:rPr>
          <w:rFonts w:hint="eastAsia" w:eastAsia="楷体_GB2312"/>
          <w:b/>
          <w:bCs/>
          <w:sz w:val="32"/>
          <w:szCs w:val="32"/>
        </w:rPr>
        <w:t>0.83</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年度公务接待共</w:t>
      </w:r>
      <w:r>
        <w:rPr>
          <w:rFonts w:hint="eastAsia" w:eastAsia="仿宋_GB2312"/>
          <w:sz w:val="32"/>
          <w:szCs w:val="32"/>
        </w:rPr>
        <w:t>5</w:t>
      </w:r>
      <w:r>
        <w:rPr>
          <w:rFonts w:eastAsia="仿宋_GB2312"/>
          <w:sz w:val="32"/>
          <w:szCs w:val="32"/>
        </w:rPr>
        <w:t>批次、</w:t>
      </w:r>
      <w:r>
        <w:rPr>
          <w:rFonts w:hint="eastAsia" w:eastAsia="仿宋_GB2312"/>
          <w:sz w:val="32"/>
          <w:szCs w:val="32"/>
        </w:rPr>
        <w:t>30</w:t>
      </w:r>
      <w:r>
        <w:rPr>
          <w:rFonts w:eastAsia="仿宋_GB2312"/>
          <w:sz w:val="32"/>
          <w:szCs w:val="32"/>
        </w:rPr>
        <w:t>人次。公务接待费支出</w:t>
      </w:r>
      <w:r>
        <w:rPr>
          <w:rFonts w:hint="eastAsia" w:eastAsia="仿宋_GB2312"/>
          <w:sz w:val="32"/>
          <w:szCs w:val="32"/>
        </w:rPr>
        <w:t>比</w:t>
      </w:r>
      <w:r>
        <w:rPr>
          <w:rFonts w:eastAsia="仿宋_GB2312"/>
          <w:sz w:val="32"/>
          <w:szCs w:val="32"/>
        </w:rPr>
        <w:t>年初预算</w:t>
      </w:r>
      <w:r>
        <w:rPr>
          <w:rFonts w:hint="eastAsia" w:eastAsia="仿宋_GB2312"/>
          <w:sz w:val="32"/>
          <w:szCs w:val="32"/>
        </w:rPr>
        <w:t>减少0.01</w:t>
      </w:r>
      <w:r>
        <w:rPr>
          <w:rFonts w:eastAsia="仿宋_GB2312"/>
          <w:sz w:val="32"/>
          <w:szCs w:val="32"/>
        </w:rPr>
        <w:t>万元，</w:t>
      </w:r>
      <w:r>
        <w:rPr>
          <w:rFonts w:hint="eastAsia" w:eastAsia="仿宋_GB2312"/>
          <w:sz w:val="32"/>
          <w:szCs w:val="32"/>
        </w:rPr>
        <w:t>减少1.19</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hint="eastAsia" w:ascii="宋体" w:hAnsi="宋体" w:cs="宋体"/>
          <w:sz w:val="32"/>
          <w:szCs w:val="32"/>
        </w:rPr>
        <w:t>.79</w:t>
      </w:r>
      <w:r>
        <w:rPr>
          <w:rFonts w:eastAsia="仿宋_GB2312"/>
          <w:sz w:val="32"/>
          <w:szCs w:val="32"/>
        </w:rPr>
        <w:t>万元，增长</w:t>
      </w:r>
      <w:r>
        <w:rPr>
          <w:rFonts w:hint="eastAsia" w:eastAsia="仿宋_GB2312"/>
          <w:sz w:val="32"/>
          <w:szCs w:val="32"/>
        </w:rPr>
        <w:t>1975</w:t>
      </w:r>
      <w:r>
        <w:rPr>
          <w:rFonts w:eastAsia="仿宋_GB2312"/>
          <w:sz w:val="32"/>
          <w:szCs w:val="32"/>
        </w:rPr>
        <w:t>%，主要是</w:t>
      </w:r>
      <w:r>
        <w:rPr>
          <w:rFonts w:hint="eastAsia" w:eastAsia="仿宋_GB2312"/>
          <w:sz w:val="32"/>
          <w:szCs w:val="32"/>
        </w:rPr>
        <w:t>接待费用增加</w:t>
      </w:r>
      <w:r>
        <w:rPr>
          <w:rFonts w:eastAsia="仿宋_GB2312"/>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keepNext w:val="0"/>
        <w:keepLines w:val="0"/>
        <w:widowControl w:val="0"/>
        <w:suppressLineNumbers w:val="0"/>
        <w:adjustRightInd w:val="0"/>
        <w:snapToGrid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（一）预算绩效管理工作开展情况。</w:t>
      </w:r>
    </w:p>
    <w:p>
      <w:pPr>
        <w:keepNext w:val="0"/>
        <w:keepLines w:val="0"/>
        <w:widowControl w:val="0"/>
        <w:suppressLineNumbers w:val="0"/>
        <w:adjustRightInd w:val="0"/>
        <w:snapToGrid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2018年度，我部门以绩效目标实现为导向，进一步加强制度建设，提升自评质量，预算进行管理取得新成效。一是抓好绩效目标编制，及时报送绩效目标；二是探索绩效跟踪监控，要求加强过程监控；三是深入开展财政支出绩效评价，对专项资金实施绩效自评和项目核查，在此基础上形成自评报告。四是健全绩效管理工作机制，明确责任分工，努力提高了绩效管理工作水平。</w:t>
      </w:r>
    </w:p>
    <w:p>
      <w:pPr>
        <w:keepNext w:val="0"/>
        <w:keepLines w:val="0"/>
        <w:widowControl w:val="0"/>
        <w:suppressLineNumbers w:val="0"/>
        <w:adjustRightInd w:val="0"/>
        <w:snapToGrid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（二）项目绩效自评结果。</w:t>
      </w:r>
    </w:p>
    <w:p>
      <w:pPr>
        <w:pStyle w:val="33"/>
        <w:widowControl/>
        <w:spacing w:line="360" w:lineRule="auto"/>
        <w:ind w:left="0" w:firstLine="640" w:firstLineChars="200"/>
        <w:jc w:val="both"/>
        <w:rPr>
          <w:rFonts w:ascii="华文仿宋" w:hAnsi="华文仿宋" w:eastAsia="华文仿宋" w:cs="宋体"/>
          <w:color w:val="333333"/>
          <w:sz w:val="32"/>
          <w:szCs w:val="32"/>
        </w:rPr>
      </w:pPr>
      <w:r>
        <w:rPr>
          <w:rFonts w:hint="eastAsia" w:ascii="华文仿宋" w:hAnsi="华文仿宋" w:eastAsia="华文仿宋" w:cs="宋体"/>
          <w:color w:val="333333"/>
          <w:sz w:val="32"/>
          <w:szCs w:val="32"/>
        </w:rPr>
        <w:t>2018年度，我局预算安排的专项项目共计1个，资金总量100万元，其中：中央专项转移支付资金</w:t>
      </w:r>
      <w:r>
        <w:rPr>
          <w:rFonts w:ascii="华文仿宋" w:hAnsi="华文仿宋" w:eastAsia="华文仿宋" w:cs="宋体"/>
          <w:color w:val="333333"/>
          <w:sz w:val="32"/>
          <w:szCs w:val="32"/>
        </w:rPr>
        <w:t>0万元，项目数量0个；省级预算安排资金0万元，项目数量0个</w:t>
      </w:r>
      <w:r>
        <w:rPr>
          <w:rFonts w:hint="eastAsia" w:ascii="华文仿宋" w:hAnsi="华文仿宋" w:eastAsia="华文仿宋" w:cs="宋体"/>
          <w:color w:val="333333"/>
          <w:sz w:val="32"/>
          <w:szCs w:val="32"/>
        </w:rPr>
        <w:t>。</w:t>
      </w:r>
    </w:p>
    <w:p>
      <w:pPr>
        <w:widowControl/>
        <w:spacing w:line="360" w:lineRule="auto"/>
        <w:ind w:firstLine="640" w:firstLineChars="200"/>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rPr>
        <w:t>大厂回族自治县财政局为贯彻落实党中央、省委、市委、县委关于财政工作的方针政策和决策部署，在履行职责过程中坚持和加强党对财政工作的集中统一领导。投资评审中心肩负着审核批复部门（单位）年度预决算的工作职责。依据《大厂财政引入社会中介机构参与评审工作管理办法（试行）》的相关规定，通过支付第三方评审中介公司预算评审费用，实现年度评审工作任务的顺利实施，达成年初制定的绩效目标，即保障全县年度预算工作的正常开展。</w:t>
      </w:r>
    </w:p>
    <w:p>
      <w:pPr>
        <w:spacing w:line="360" w:lineRule="auto"/>
        <w:ind w:firstLine="640" w:firstLineChars="200"/>
        <w:rPr>
          <w:rFonts w:hint="eastAsia" w:ascii="华文仿宋" w:hAnsi="华文仿宋" w:eastAsia="华文仿宋"/>
          <w:b w:val="0"/>
          <w:bCs/>
          <w:sz w:val="32"/>
          <w:szCs w:val="32"/>
        </w:rPr>
      </w:pPr>
      <w:r>
        <w:rPr>
          <w:rFonts w:hint="eastAsia" w:ascii="华文仿宋" w:hAnsi="华文仿宋" w:eastAsia="华文仿宋"/>
          <w:b w:val="0"/>
          <w:bCs/>
          <w:sz w:val="32"/>
          <w:szCs w:val="32"/>
        </w:rPr>
        <w:t xml:space="preserve"> “投资评审业务费”项目。</w:t>
      </w:r>
    </w:p>
    <w:p>
      <w:pPr>
        <w:widowControl/>
        <w:spacing w:line="360" w:lineRule="auto"/>
        <w:ind w:firstLine="640" w:firstLineChars="200"/>
        <w:jc w:val="both"/>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rPr>
        <w:t>本项目资金用于保障大厂全县年度预算评审工作正常开展，通过支付第三方评审中介公司预算评审费用，完成年度评审工作任务。2018年项目预算总金额100万元，全部为本级财政预算资金；2018年决算总金额62.3691万元，其中，2018年一季度完成支付34.2337万元，三季度完成支付28.1354万元。</w:t>
      </w:r>
    </w:p>
    <w:p>
      <w:pPr>
        <w:widowControl/>
        <w:spacing w:line="360" w:lineRule="auto"/>
        <w:ind w:firstLine="640" w:firstLineChars="200"/>
        <w:jc w:val="both"/>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rPr>
        <w:t>根据2015-2016年评审额度和实施经验，按年度评审额度5.56亿元，平均费率1.8‰，确定年度预算总金额；同时</w:t>
      </w:r>
      <w:r>
        <w:rPr>
          <w:rFonts w:hint="eastAsia"/>
          <w:sz w:val="32"/>
          <w:szCs w:val="32"/>
        </w:rPr>
        <w:t>设定了3个绩效考评指标：</w:t>
      </w:r>
    </w:p>
    <w:p>
      <w:pPr>
        <w:widowControl/>
        <w:spacing w:line="360" w:lineRule="auto"/>
        <w:ind w:firstLine="640" w:firstLineChars="200"/>
        <w:jc w:val="both"/>
        <w:rPr>
          <w:rFonts w:hint="eastAsia"/>
          <w:sz w:val="32"/>
          <w:szCs w:val="32"/>
        </w:rPr>
      </w:pPr>
      <w:r>
        <w:rPr>
          <w:rFonts w:hint="eastAsia"/>
          <w:sz w:val="32"/>
          <w:szCs w:val="32"/>
        </w:rPr>
        <w:t>一是产出指标中</w:t>
      </w:r>
      <w:r>
        <w:rPr>
          <w:rFonts w:hint="eastAsia" w:ascii="华文仿宋" w:hAnsi="华文仿宋" w:eastAsia="华文仿宋" w:cs="宋体"/>
          <w:color w:val="333333"/>
          <w:sz w:val="32"/>
          <w:szCs w:val="32"/>
        </w:rPr>
        <w:t>全年完成项目评审工作报告不少于50个</w:t>
      </w:r>
      <w:r>
        <w:rPr>
          <w:rFonts w:hint="eastAsia"/>
          <w:sz w:val="32"/>
          <w:szCs w:val="32"/>
        </w:rPr>
        <w:t>。考评标准：50（含）以上为“优”，40（含）-50个为“良”，35（含）-40个为“中”，35个以下为“差”；</w:t>
      </w:r>
    </w:p>
    <w:p>
      <w:pPr>
        <w:widowControl/>
        <w:spacing w:line="360" w:lineRule="auto"/>
        <w:ind w:firstLine="640" w:firstLineChars="200"/>
        <w:jc w:val="both"/>
        <w:rPr>
          <w:rFonts w:hint="eastAsia" w:ascii="华文仿宋" w:hAnsi="华文仿宋" w:eastAsia="华文仿宋" w:cs="宋体"/>
          <w:color w:val="333333"/>
          <w:sz w:val="32"/>
          <w:szCs w:val="32"/>
        </w:rPr>
      </w:pPr>
      <w:r>
        <w:rPr>
          <w:rFonts w:hint="eastAsia"/>
          <w:sz w:val="32"/>
          <w:szCs w:val="32"/>
        </w:rPr>
        <w:t>二是产出指标中</w:t>
      </w:r>
      <w:r>
        <w:rPr>
          <w:rFonts w:hint="eastAsia" w:ascii="华文仿宋" w:hAnsi="华文仿宋" w:eastAsia="华文仿宋" w:cs="宋体"/>
          <w:color w:val="333333"/>
          <w:sz w:val="32"/>
          <w:szCs w:val="32"/>
        </w:rPr>
        <w:t>全年评审费用不高于70万元。考评标准：70万（含）以下为“优”，70（含）-80万为“良”，80（含）-100万为“中”，100万（含）以上为“差”；</w:t>
      </w:r>
    </w:p>
    <w:p>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rPr>
        <w:t>三是效果指标中通过评审，全年节约投资金额不少于2000万元。考评标准：4000万（含）以上为“优”，3500万（含）-4000万为“良”，2000万（含）-3500万为“中”，2000万以下为“差”。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（三）重点项目绩效评价结果。</w:t>
      </w:r>
    </w:p>
    <w:p>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ascii="华文仿宋" w:hAnsi="华文仿宋" w:eastAsia="华文仿宋" w:cs="宋体"/>
          <w:b w:val="0"/>
          <w:bCs/>
          <w:color w:val="333333"/>
          <w:sz w:val="32"/>
          <w:szCs w:val="32"/>
        </w:rPr>
      </w:pPr>
      <w:r>
        <w:rPr>
          <w:rFonts w:hint="eastAsia" w:ascii="华文仿宋" w:hAnsi="华文仿宋" w:eastAsia="华文仿宋" w:cs="宋体"/>
          <w:b w:val="0"/>
          <w:bCs/>
          <w:color w:val="333333"/>
          <w:sz w:val="32"/>
          <w:szCs w:val="32"/>
          <w:lang w:val="en-US" w:eastAsia="zh-CN"/>
        </w:rPr>
        <w:t>1、</w:t>
      </w:r>
      <w:r>
        <w:rPr>
          <w:rFonts w:hint="eastAsia" w:ascii="华文仿宋" w:hAnsi="华文仿宋" w:eastAsia="华文仿宋" w:cs="宋体"/>
          <w:b w:val="0"/>
          <w:bCs/>
          <w:color w:val="333333"/>
          <w:sz w:val="32"/>
          <w:szCs w:val="32"/>
        </w:rPr>
        <w:t>前期准备</w:t>
      </w:r>
    </w:p>
    <w:p>
      <w:pPr>
        <w:keepNext w:val="0"/>
        <w:keepLines w:val="0"/>
        <w:pageBreakBefore w:val="0"/>
        <w:kinsoku/>
        <w:wordWrap/>
        <w:overflowPunct/>
        <w:topLinePunct w:val="0"/>
        <w:autoSpaceDE/>
        <w:autoSpaceDN/>
        <w:bidi w:val="0"/>
        <w:spacing w:line="600" w:lineRule="exact"/>
        <w:ind w:firstLine="627" w:firstLineChars="196"/>
        <w:textAlignment w:val="auto"/>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rPr>
        <w:t>我局按照</w:t>
      </w:r>
      <w:r>
        <w:rPr>
          <w:rFonts w:hint="eastAsia" w:ascii="华文仿宋" w:hAnsi="华文仿宋" w:eastAsia="华文仿宋" w:cs="宋体"/>
          <w:color w:val="333333"/>
          <w:sz w:val="32"/>
          <w:szCs w:val="32"/>
          <w:lang w:val="en-US" w:eastAsia="zh-CN"/>
        </w:rPr>
        <w:t>相关</w:t>
      </w:r>
      <w:r>
        <w:rPr>
          <w:rFonts w:hint="eastAsia" w:ascii="华文仿宋" w:hAnsi="华文仿宋" w:eastAsia="华文仿宋" w:cs="宋体"/>
          <w:color w:val="333333"/>
          <w:sz w:val="32"/>
          <w:szCs w:val="32"/>
        </w:rPr>
        <w:t>要求，成立了由</w:t>
      </w:r>
      <w:r>
        <w:rPr>
          <w:rFonts w:ascii="华文仿宋" w:hAnsi="华文仿宋" w:eastAsia="华文仿宋" w:cs="宋体"/>
          <w:color w:val="333333"/>
          <w:sz w:val="32"/>
          <w:szCs w:val="32"/>
        </w:rPr>
        <w:t>党组书记、局长</w:t>
      </w:r>
      <w:r>
        <w:rPr>
          <w:rFonts w:hint="eastAsia" w:ascii="华文仿宋" w:hAnsi="华文仿宋" w:eastAsia="华文仿宋" w:cs="宋体"/>
          <w:color w:val="333333"/>
          <w:sz w:val="32"/>
          <w:szCs w:val="32"/>
        </w:rPr>
        <w:t>任组长，党组成员、副局长任副组长，专项项目相关股室、中心负责人为小组成员的绩效评价领导小组；根据自身职责和评价项目特点，对照预算编制和设定的绩效目标、评价指标，制定了绩效评价工作方案，确定评价工作的程序、时间安排、评价方法等。并安排项目负责人、财务人员，梳理准备2018年度专项项目资料，对我局安排的2018年度专项项目开展绩效自评工作。</w:t>
      </w:r>
    </w:p>
    <w:p>
      <w:pPr>
        <w:widowControl/>
        <w:spacing w:line="360" w:lineRule="auto"/>
        <w:ind w:firstLine="640" w:firstLineChars="200"/>
        <w:jc w:val="both"/>
        <w:rPr>
          <w:rFonts w:ascii="华文仿宋" w:hAnsi="华文仿宋" w:eastAsia="华文仿宋" w:cs="宋体"/>
          <w:b w:val="0"/>
          <w:bCs/>
          <w:color w:val="333333"/>
          <w:sz w:val="32"/>
          <w:szCs w:val="32"/>
        </w:rPr>
      </w:pPr>
      <w:r>
        <w:rPr>
          <w:rFonts w:hint="eastAsia" w:ascii="华文仿宋" w:hAnsi="华文仿宋" w:eastAsia="华文仿宋" w:cs="宋体"/>
          <w:b w:val="0"/>
          <w:bCs/>
          <w:color w:val="333333"/>
          <w:sz w:val="32"/>
          <w:szCs w:val="32"/>
          <w:lang w:val="en-US" w:eastAsia="zh-CN"/>
        </w:rPr>
        <w:t>2、</w:t>
      </w:r>
      <w:r>
        <w:rPr>
          <w:rFonts w:hint="eastAsia" w:ascii="华文仿宋" w:hAnsi="华文仿宋" w:eastAsia="华文仿宋" w:cs="宋体"/>
          <w:b w:val="0"/>
          <w:bCs/>
          <w:color w:val="333333"/>
          <w:sz w:val="32"/>
          <w:szCs w:val="32"/>
        </w:rPr>
        <w:t>组织实施</w:t>
      </w:r>
    </w:p>
    <w:p>
      <w:pPr>
        <w:pStyle w:val="33"/>
        <w:widowControl/>
        <w:spacing w:line="360" w:lineRule="auto"/>
        <w:ind w:left="0" w:firstLine="640" w:firstLineChars="200"/>
        <w:jc w:val="both"/>
        <w:rPr>
          <w:rFonts w:ascii="华文仿宋" w:hAnsi="华文仿宋" w:eastAsia="华文仿宋" w:cs="宋体"/>
          <w:color w:val="333333"/>
          <w:sz w:val="32"/>
          <w:szCs w:val="32"/>
        </w:rPr>
      </w:pPr>
      <w:r>
        <w:rPr>
          <w:rFonts w:hint="eastAsia" w:ascii="华文仿宋" w:hAnsi="华文仿宋" w:eastAsia="华文仿宋" w:cs="宋体"/>
          <w:color w:val="333333"/>
          <w:sz w:val="32"/>
          <w:szCs w:val="32"/>
        </w:rPr>
        <w:t>组建评价工作组：组建评价工作组，认真领会文件要求，遵循“客观、公正、科学、规范”的原则开展项目绩效评价工作；确定评价基准日：根据项目实施期限及文件要求，评价基准日为2018年12月31日；责成项目负责人和财务人员准备相关资料。包括2018年需要评价的专项项目预算编制信息、绩效指标设定和实际支出情况以及各项要求填报的数据等；评价组对报送的自评资料进行审核。评价人员重点对报送的1个项目自评资料实施了全面的审核程序，包括：审阅文字资料、核对项目预算与项目经费支出、对数据资料进行核实和分析、对问题进行征询、对缺失的资料进一步补充完善等。</w:t>
      </w:r>
    </w:p>
    <w:p>
      <w:pPr>
        <w:widowControl/>
        <w:spacing w:line="360" w:lineRule="auto"/>
        <w:ind w:firstLine="640" w:firstLineChars="200"/>
        <w:jc w:val="both"/>
        <w:rPr>
          <w:rFonts w:hint="eastAsia" w:ascii="华文仿宋" w:hAnsi="华文仿宋" w:eastAsia="华文仿宋" w:cs="宋体"/>
          <w:b w:val="0"/>
          <w:bCs/>
          <w:color w:val="333333"/>
          <w:sz w:val="32"/>
          <w:szCs w:val="32"/>
        </w:rPr>
      </w:pPr>
      <w:r>
        <w:rPr>
          <w:rFonts w:hint="eastAsia" w:ascii="华文仿宋" w:hAnsi="华文仿宋" w:eastAsia="华文仿宋" w:cs="宋体"/>
          <w:b w:val="0"/>
          <w:bCs/>
          <w:color w:val="333333"/>
          <w:sz w:val="32"/>
          <w:szCs w:val="32"/>
          <w:lang w:val="en-US" w:eastAsia="zh-CN"/>
        </w:rPr>
        <w:t>3、</w:t>
      </w:r>
      <w:r>
        <w:rPr>
          <w:rFonts w:hint="eastAsia" w:ascii="华文仿宋" w:hAnsi="华文仿宋" w:eastAsia="华文仿宋" w:cs="宋体"/>
          <w:b w:val="0"/>
          <w:bCs/>
          <w:color w:val="333333"/>
          <w:sz w:val="32"/>
          <w:szCs w:val="32"/>
        </w:rPr>
        <w:t>分析评价</w:t>
      </w:r>
    </w:p>
    <w:p>
      <w:pPr>
        <w:pStyle w:val="33"/>
        <w:widowControl/>
        <w:spacing w:line="360" w:lineRule="auto"/>
        <w:ind w:left="0" w:firstLine="640" w:firstLineChars="200"/>
        <w:jc w:val="both"/>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lang w:eastAsia="zh-CN"/>
        </w:rPr>
        <w:t>（</w:t>
      </w:r>
      <w:r>
        <w:rPr>
          <w:rFonts w:hint="eastAsia" w:ascii="华文仿宋" w:hAnsi="华文仿宋" w:eastAsia="华文仿宋" w:cs="宋体"/>
          <w:color w:val="333333"/>
          <w:sz w:val="32"/>
          <w:szCs w:val="32"/>
          <w:lang w:val="en-US" w:eastAsia="zh-CN"/>
        </w:rPr>
        <w:t>1）</w:t>
      </w:r>
      <w:r>
        <w:rPr>
          <w:rFonts w:hint="eastAsia" w:ascii="华文仿宋" w:hAnsi="华文仿宋" w:eastAsia="华文仿宋" w:cs="宋体"/>
          <w:color w:val="333333"/>
          <w:sz w:val="32"/>
          <w:szCs w:val="32"/>
        </w:rPr>
        <w:t>全年完成项目评审工作情况</w:t>
      </w:r>
    </w:p>
    <w:p>
      <w:pPr>
        <w:pStyle w:val="33"/>
        <w:widowControl/>
        <w:spacing w:line="360" w:lineRule="auto"/>
        <w:ind w:left="0" w:firstLine="640" w:firstLineChars="200"/>
        <w:jc w:val="both"/>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rPr>
        <w:t>依据2015-2016年度的任务指标制定2018年度绩效指标和考评标准。产出指标，即2018年度完成项目评审工作报告不少于50个；全年评审费用不高于70万元。2018年实际完成项目评审工作报告71个，高于年初制定的产出数量指标50个，根据考评标准评价为优；全年一季度和三季度完成支付第三方评审中介公司预算评审费用共计62.3691万元，低于年初制定的产出成本指标70万元，根据考评标准评价为优。</w:t>
      </w:r>
    </w:p>
    <w:p>
      <w:pPr>
        <w:pStyle w:val="33"/>
        <w:widowControl/>
        <w:spacing w:line="360" w:lineRule="auto"/>
        <w:ind w:left="0" w:firstLine="640" w:firstLineChars="200"/>
        <w:jc w:val="both"/>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rPr>
        <w:t>2018年度产出指标100%完成。</w:t>
      </w:r>
    </w:p>
    <w:p>
      <w:pPr>
        <w:pStyle w:val="33"/>
        <w:widowControl/>
        <w:spacing w:line="360" w:lineRule="auto"/>
        <w:ind w:left="0" w:firstLine="640" w:firstLineChars="200"/>
        <w:jc w:val="both"/>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lang w:eastAsia="zh-CN"/>
        </w:rPr>
        <w:t>（</w:t>
      </w:r>
      <w:r>
        <w:rPr>
          <w:rFonts w:hint="eastAsia" w:ascii="华文仿宋" w:hAnsi="华文仿宋" w:eastAsia="华文仿宋" w:cs="宋体"/>
          <w:color w:val="333333"/>
          <w:sz w:val="32"/>
          <w:szCs w:val="32"/>
          <w:lang w:val="en-US" w:eastAsia="zh-CN"/>
        </w:rPr>
        <w:t>2</w:t>
      </w:r>
      <w:r>
        <w:rPr>
          <w:rFonts w:hint="eastAsia" w:ascii="华文仿宋" w:hAnsi="华文仿宋" w:eastAsia="华文仿宋" w:cs="宋体"/>
          <w:color w:val="333333"/>
          <w:sz w:val="32"/>
          <w:szCs w:val="32"/>
          <w:lang w:eastAsia="zh-CN"/>
        </w:rPr>
        <w:t>）</w:t>
      </w:r>
      <w:r>
        <w:rPr>
          <w:rFonts w:hint="eastAsia" w:ascii="华文仿宋" w:hAnsi="华文仿宋" w:eastAsia="华文仿宋" w:cs="宋体"/>
          <w:color w:val="333333"/>
          <w:sz w:val="32"/>
          <w:szCs w:val="32"/>
        </w:rPr>
        <w:t>节约了年度财政预算资金</w:t>
      </w:r>
    </w:p>
    <w:p>
      <w:pPr>
        <w:widowControl/>
        <w:spacing w:line="360" w:lineRule="auto"/>
        <w:ind w:firstLine="640" w:firstLineChars="200"/>
        <w:jc w:val="both"/>
        <w:rPr>
          <w:rFonts w:hint="eastAsia" w:ascii="华文仿宋" w:hAnsi="华文仿宋" w:eastAsia="华文仿宋"/>
          <w:sz w:val="32"/>
          <w:szCs w:val="32"/>
        </w:rPr>
      </w:pPr>
      <w:r>
        <w:rPr>
          <w:rFonts w:hint="eastAsia" w:ascii="华文仿宋" w:hAnsi="华文仿宋" w:eastAsia="华文仿宋"/>
          <w:sz w:val="32"/>
          <w:szCs w:val="32"/>
        </w:rPr>
        <w:t>2018年初制定的效果指标为节约投资金额不少于2000万元。而通过本项目的开展，即通过项目评审，2018年度节约投资金额5000万元，远远高于年初制定的2000万元的指标。</w:t>
      </w:r>
      <w:r>
        <w:rPr>
          <w:rFonts w:hint="eastAsia" w:ascii="华文仿宋" w:hAnsi="华文仿宋" w:eastAsia="华文仿宋" w:cs="宋体"/>
          <w:color w:val="333333"/>
          <w:sz w:val="32"/>
          <w:szCs w:val="32"/>
        </w:rPr>
        <w:t>根据考评标准评价为优。</w:t>
      </w:r>
    </w:p>
    <w:p>
      <w:pPr>
        <w:widowControl/>
        <w:spacing w:line="360" w:lineRule="auto"/>
        <w:ind w:firstLine="640" w:firstLineChars="200"/>
        <w:jc w:val="both"/>
        <w:rPr>
          <w:rFonts w:hint="eastAsia" w:ascii="华文仿宋" w:hAnsi="华文仿宋" w:eastAsia="华文仿宋"/>
          <w:sz w:val="32"/>
          <w:szCs w:val="32"/>
        </w:rPr>
      </w:pPr>
      <w:r>
        <w:rPr>
          <w:rFonts w:hint="eastAsia" w:ascii="华文仿宋" w:hAnsi="华文仿宋" w:eastAsia="华文仿宋"/>
          <w:sz w:val="32"/>
          <w:szCs w:val="32"/>
        </w:rPr>
        <w:t>2018年度效果指标100%完成。</w:t>
      </w:r>
    </w:p>
    <w:p>
      <w:pPr>
        <w:widowControl/>
        <w:spacing w:line="360" w:lineRule="auto"/>
        <w:ind w:firstLine="640" w:firstLineChars="200"/>
        <w:jc w:val="both"/>
        <w:rPr>
          <w:rFonts w:hint="eastAsia" w:ascii="华文仿宋" w:hAnsi="华文仿宋" w:eastAsia="华文仿宋" w:cs="宋体"/>
          <w:color w:val="333333"/>
          <w:sz w:val="32"/>
          <w:szCs w:val="32"/>
        </w:rPr>
      </w:pPr>
      <w:r>
        <w:rPr>
          <w:rFonts w:hint="eastAsia" w:ascii="华文仿宋" w:hAnsi="华文仿宋" w:eastAsia="华文仿宋" w:cs="宋体"/>
          <w:color w:val="333333"/>
          <w:sz w:val="32"/>
          <w:szCs w:val="32"/>
          <w:lang w:eastAsia="zh-CN"/>
        </w:rPr>
        <w:t>（</w:t>
      </w:r>
      <w:r>
        <w:rPr>
          <w:rFonts w:hint="eastAsia" w:ascii="华文仿宋" w:hAnsi="华文仿宋" w:eastAsia="华文仿宋" w:cs="宋体"/>
          <w:color w:val="333333"/>
          <w:sz w:val="32"/>
          <w:szCs w:val="32"/>
          <w:lang w:val="en-US" w:eastAsia="zh-CN"/>
        </w:rPr>
        <w:t>3）</w:t>
      </w:r>
      <w:r>
        <w:rPr>
          <w:rFonts w:hint="eastAsia" w:ascii="华文仿宋" w:hAnsi="华文仿宋" w:eastAsia="华文仿宋" w:cs="宋体"/>
          <w:color w:val="333333"/>
          <w:sz w:val="32"/>
          <w:szCs w:val="32"/>
        </w:rPr>
        <w:t>预算资金执行率</w:t>
      </w:r>
    </w:p>
    <w:p>
      <w:pPr>
        <w:widowControl/>
        <w:spacing w:line="360" w:lineRule="auto"/>
        <w:ind w:firstLine="640" w:firstLineChars="200"/>
        <w:rPr>
          <w:rFonts w:ascii="华文仿宋" w:hAnsi="华文仿宋" w:eastAsia="华文仿宋"/>
          <w:sz w:val="32"/>
          <w:szCs w:val="32"/>
        </w:rPr>
      </w:pPr>
      <w:r>
        <w:rPr>
          <w:rFonts w:hint="eastAsia" w:ascii="华文仿宋" w:hAnsi="华文仿宋" w:eastAsia="华文仿宋"/>
          <w:sz w:val="32"/>
          <w:szCs w:val="32"/>
        </w:rPr>
        <w:t>本年度预算资金100万元，实际支付62.3691万元，由于预算单位申报不及时，加之“两委”换届工作的延迟，2018年度项目资金结余37.6309万元。执行率为62.37%。</w:t>
      </w:r>
    </w:p>
    <w:p>
      <w:pPr>
        <w:widowControl/>
        <w:spacing w:line="360" w:lineRule="auto"/>
        <w:ind w:firstLine="640" w:firstLineChars="200"/>
        <w:jc w:val="both"/>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rPr>
        <w:t>综合评价结论</w:t>
      </w:r>
      <w:bookmarkStart w:id="0" w:name="_GoBack"/>
      <w:bookmarkEnd w:id="0"/>
    </w:p>
    <w:p>
      <w:pPr>
        <w:widowControl/>
        <w:spacing w:before="225" w:line="360" w:lineRule="auto"/>
        <w:ind w:firstLine="480"/>
        <w:jc w:val="both"/>
        <w:rPr>
          <w:rFonts w:ascii="华文仿宋" w:hAnsi="华文仿宋" w:eastAsia="华文仿宋" w:cs="宋体"/>
          <w:color w:val="333333"/>
          <w:sz w:val="32"/>
          <w:szCs w:val="32"/>
        </w:rPr>
      </w:pPr>
      <w:r>
        <w:rPr>
          <w:rFonts w:hint="eastAsia" w:ascii="华文仿宋" w:hAnsi="华文仿宋" w:eastAsia="华文仿宋" w:cs="宋体"/>
          <w:color w:val="333333"/>
          <w:sz w:val="32"/>
          <w:szCs w:val="32"/>
        </w:rPr>
        <w:t>本次我局预算安排的专项项目为1项，评价结果为“优”，评优率为100%。</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w:t>
      </w:r>
      <w:r>
        <w:rPr>
          <w:rFonts w:hint="eastAsia" w:ascii="宋体" w:hAnsi="宋体" w:cs="宋体"/>
          <w:sz w:val="32"/>
          <w:szCs w:val="32"/>
        </w:rPr>
        <w:t>90.33</w:t>
      </w:r>
      <w:r>
        <w:rPr>
          <w:rFonts w:hint="eastAsia" w:ascii="仿宋_GB2312" w:eastAsia="仿宋_GB2312" w:cs="DengXian-Regular"/>
          <w:sz w:val="32"/>
          <w:szCs w:val="32"/>
        </w:rPr>
        <w:t>万元，比年初预算数减少7</w:t>
      </w:r>
      <w:r>
        <w:rPr>
          <w:rFonts w:hint="eastAsia" w:ascii="宋体" w:hAnsi="宋体" w:cs="宋体"/>
          <w:sz w:val="32"/>
          <w:szCs w:val="32"/>
        </w:rPr>
        <w:t>.99</w:t>
      </w:r>
      <w:r>
        <w:rPr>
          <w:rFonts w:hint="eastAsia" w:ascii="仿宋_GB2312" w:eastAsia="仿宋_GB2312" w:cs="DengXian-Regular"/>
          <w:sz w:val="32"/>
          <w:szCs w:val="32"/>
        </w:rPr>
        <w:t>万元，降低</w:t>
      </w:r>
      <w:r>
        <w:rPr>
          <w:rFonts w:hint="eastAsia" w:ascii="宋体" w:hAnsi="宋体" w:cs="宋体"/>
          <w:sz w:val="32"/>
          <w:szCs w:val="32"/>
        </w:rPr>
        <w:t>4.03</w:t>
      </w:r>
      <w:r>
        <w:rPr>
          <w:rFonts w:eastAsia="仿宋_GB2312"/>
          <w:sz w:val="32"/>
          <w:szCs w:val="32"/>
        </w:rPr>
        <w:t>%</w:t>
      </w:r>
      <w:r>
        <w:rPr>
          <w:rFonts w:hint="eastAsia" w:ascii="仿宋_GB2312" w:eastAsia="仿宋_GB2312" w:cs="DengXian-Regular"/>
          <w:sz w:val="32"/>
          <w:szCs w:val="32"/>
        </w:rPr>
        <w:t>。主要是办公费、邮电费及其他交通费用减少。</w:t>
      </w:r>
      <w:r>
        <w:rPr>
          <w:rFonts w:eastAsia="仿宋_GB2312"/>
          <w:sz w:val="32"/>
          <w:szCs w:val="32"/>
        </w:rPr>
        <w:t>较201</w:t>
      </w:r>
      <w:r>
        <w:rPr>
          <w:rFonts w:hint="eastAsia" w:eastAsia="仿宋_GB2312"/>
          <w:sz w:val="32"/>
          <w:szCs w:val="32"/>
        </w:rPr>
        <w:t>7</w:t>
      </w:r>
      <w:r>
        <w:rPr>
          <w:rFonts w:eastAsia="仿宋_GB2312"/>
          <w:sz w:val="32"/>
          <w:szCs w:val="32"/>
        </w:rPr>
        <w:t>年度决算增加</w:t>
      </w:r>
      <w:r>
        <w:rPr>
          <w:rFonts w:hint="eastAsia" w:eastAsia="仿宋_GB2312"/>
          <w:sz w:val="32"/>
          <w:szCs w:val="32"/>
        </w:rPr>
        <w:t>20.63</w:t>
      </w:r>
      <w:r>
        <w:rPr>
          <w:rFonts w:eastAsia="仿宋_GB2312"/>
          <w:sz w:val="32"/>
          <w:szCs w:val="32"/>
        </w:rPr>
        <w:t>万元，增长</w:t>
      </w:r>
      <w:r>
        <w:rPr>
          <w:rFonts w:hint="eastAsia" w:eastAsia="仿宋_GB2312"/>
          <w:sz w:val="32"/>
          <w:szCs w:val="32"/>
        </w:rPr>
        <w:t>12.16</w:t>
      </w:r>
      <w:r>
        <w:rPr>
          <w:rFonts w:eastAsia="仿宋_GB2312"/>
          <w:sz w:val="32"/>
          <w:szCs w:val="32"/>
        </w:rPr>
        <w:t>%，主要是</w:t>
      </w:r>
      <w:r>
        <w:rPr>
          <w:rFonts w:hint="eastAsia" w:eastAsia="仿宋_GB2312"/>
          <w:sz w:val="32"/>
          <w:szCs w:val="32"/>
        </w:rPr>
        <w:t>邮电费增加</w:t>
      </w:r>
      <w:r>
        <w:rPr>
          <w:rFonts w:eastAsia="仿宋_GB2312"/>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hAnsi="仿宋_GB2312" w:eastAsia="仿宋_GB2312" w:cs="仿宋_GB2312"/>
          <w:color w:val="000000"/>
          <w:kern w:val="0"/>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宋体" w:hAnsi="宋体" w:cs="宋体"/>
          <w:sz w:val="32"/>
          <w:szCs w:val="32"/>
        </w:rPr>
        <w:t>4</w:t>
      </w:r>
      <w:r>
        <w:rPr>
          <w:rFonts w:hint="eastAsia" w:ascii="仿宋_GB2312" w:eastAsia="仿宋_GB2312" w:cs="DengXian-Regular"/>
          <w:sz w:val="32"/>
          <w:szCs w:val="32"/>
        </w:rPr>
        <w:t>辆，与上年持平。其中，副部（省）级及以上领导用车0辆，主要领导干部用车0辆，机要通信用车0辆，应急保障用车3辆，执法执勤用车0辆，特种专业技术用车0辆，离退休干部用车1辆，其他用车0辆；单位价值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万元以上通用设备0台（套），与上年持平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万元以上专用设备0台（套），与上年持平。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widowControl/>
        <w:spacing w:after="0" w:line="56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收入支出决算表、国有资本经营预算财政拨款支出决算表、政府采购情况表无收支及结转结余情况，故政府性基金预算财政拨款收入支出决算表、国有资本经营预算财政拨款支出决算表、政府采购情况表表以空表列示。</w:t>
      </w:r>
    </w:p>
    <w:p>
      <w:pPr>
        <w:adjustRightInd w:val="0"/>
        <w:snapToGrid w:val="0"/>
        <w:spacing w:after="0" w:line="580" w:lineRule="exact"/>
        <w:ind w:firstLine="640" w:firstLineChars="200"/>
        <w:rPr>
          <w:rFonts w:ascii="仿宋_GB2312" w:eastAsia="仿宋_GB2312" w:cs="DengXian-Regular"/>
          <w:sz w:val="32"/>
          <w:szCs w:val="32"/>
        </w:rPr>
        <w:sectPr>
          <w:pgSz w:w="11906" w:h="16838"/>
          <w:pgMar w:top="2098" w:right="1474" w:bottom="1984" w:left="1588" w:header="851" w:footer="992" w:gutter="0"/>
          <w:cols w:space="0" w:num="1"/>
          <w:docGrid w:type="lines" w:linePitch="312" w:charSpace="0"/>
        </w:sect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line="1200" w:lineRule="exact"/>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第四部分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3FDDB2-0A77-4D3D-A1BB-B163749CC83E}"/>
  </w:font>
  <w:font w:name="黑体">
    <w:panose1 w:val="02010609060101010101"/>
    <w:charset w:val="86"/>
    <w:family w:val="auto"/>
    <w:pitch w:val="default"/>
    <w:sig w:usb0="800002BF" w:usb1="38CF7CFA" w:usb2="00000016" w:usb3="00000000" w:csb0="00040001" w:csb1="00000000"/>
    <w:embedRegular r:id="rId2" w:fontKey="{9200ED2F-9DDB-45F4-BC3A-8DDBE21589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3ACDCB22-DC74-4B99-ACE9-DD14BD83AC62}"/>
  </w:font>
  <w:font w:name="Cambria">
    <w:panose1 w:val="02040503050406030204"/>
    <w:charset w:val="86"/>
    <w:family w:val="roman"/>
    <w:pitch w:val="default"/>
    <w:sig w:usb0="E00006FF" w:usb1="420024FF" w:usb2="02000000" w:usb3="00000000" w:csb0="2000019F" w:csb1="00000000"/>
    <w:embedRegular r:id="rId4" w:fontKey="{CA3C3EA1-6CA2-4821-A43F-B554AF9B2CF0}"/>
  </w:font>
  <w:font w:name="楷体">
    <w:panose1 w:val="02010609060101010101"/>
    <w:charset w:val="86"/>
    <w:family w:val="modern"/>
    <w:pitch w:val="default"/>
    <w:sig w:usb0="800002BF" w:usb1="38CF7CFA" w:usb2="00000016" w:usb3="00000000" w:csb0="00040001" w:csb1="00000000"/>
    <w:embedRegular r:id="rId5" w:fontKey="{F252DECB-14BE-4358-B02E-86702685BF2A}"/>
  </w:font>
  <w:font w:name="仿宋_GB2312">
    <w:altName w:val="仿宋"/>
    <w:panose1 w:val="00000000000000000000"/>
    <w:charset w:val="86"/>
    <w:family w:val="modern"/>
    <w:pitch w:val="default"/>
    <w:sig w:usb0="00000000" w:usb1="00000000" w:usb2="00000000" w:usb3="00000000" w:csb0="00040000" w:csb1="00000000"/>
    <w:embedRegular r:id="rId6" w:fontKey="{9375BB02-9B48-4BD6-B782-306104C2FA7F}"/>
  </w:font>
  <w:font w:name="仿宋">
    <w:panose1 w:val="02010609060101010101"/>
    <w:charset w:val="86"/>
    <w:family w:val="modern"/>
    <w:pitch w:val="default"/>
    <w:sig w:usb0="800002BF" w:usb1="38CF7CFA" w:usb2="00000016" w:usb3="00000000" w:csb0="00040001" w:csb1="00000000"/>
    <w:embedRegular r:id="rId7" w:fontKey="{8FA6F6DA-1CBE-4F1D-8745-4A9AB20242ED}"/>
  </w:font>
  <w:font w:name="ArialUnicodeMS">
    <w:altName w:val="Malgun Gothic"/>
    <w:panose1 w:val="00000000000000000000"/>
    <w:charset w:val="81"/>
    <w:family w:val="auto"/>
    <w:pitch w:val="default"/>
    <w:sig w:usb0="00000000" w:usb1="00000000" w:usb2="00000010" w:usb3="00000000" w:csb0="00080001" w:csb1="00000000"/>
    <w:embedRegular r:id="rId8" w:fontKey="{028DB7DB-3842-427D-8F78-2F0E12ACDC2B}"/>
  </w:font>
  <w:font w:name="MS-UIGothic,Bold">
    <w:altName w:val="Malgun Gothic"/>
    <w:panose1 w:val="00000000000000000000"/>
    <w:charset w:val="81"/>
    <w:family w:val="auto"/>
    <w:pitch w:val="default"/>
    <w:sig w:usb0="00000000" w:usb1="00000000" w:usb2="00000010" w:usb3="00000000" w:csb0="00080000" w:csb1="00000000"/>
    <w:embedRegular r:id="rId9" w:fontKey="{EF5215AF-5FB2-4F89-BB68-82126DB98BFF}"/>
  </w:font>
  <w:font w:name="DengXian-Regular">
    <w:altName w:val="宋体"/>
    <w:panose1 w:val="00000000000000000000"/>
    <w:charset w:val="86"/>
    <w:family w:val="auto"/>
    <w:pitch w:val="default"/>
    <w:sig w:usb0="00000000" w:usb1="00000000" w:usb2="00000010" w:usb3="00000000" w:csb0="00040001" w:csb1="00000000"/>
    <w:embedRegular r:id="rId10" w:fontKey="{3E3503E3-55DC-471E-AE29-D946428D0B0F}"/>
  </w:font>
  <w:font w:name="楷体_GB2312">
    <w:altName w:val="楷体"/>
    <w:panose1 w:val="00000000000000000000"/>
    <w:charset w:val="86"/>
    <w:family w:val="modern"/>
    <w:pitch w:val="default"/>
    <w:sig w:usb0="00000000" w:usb1="00000000" w:usb2="00000010" w:usb3="00000000" w:csb0="00040000" w:csb1="00000000"/>
    <w:embedRegular r:id="rId11" w:fontKey="{52F4D938-26DD-451C-8CCD-C7670A1AC484}"/>
  </w:font>
  <w:font w:name="DengXian-Bold">
    <w:altName w:val="宋体"/>
    <w:panose1 w:val="00000000000000000000"/>
    <w:charset w:val="86"/>
    <w:family w:val="auto"/>
    <w:pitch w:val="default"/>
    <w:sig w:usb0="00000000" w:usb1="00000000" w:usb2="00000010" w:usb3="00000000" w:csb0="00040001" w:csb1="00000000"/>
    <w:embedRegular r:id="rId12" w:fontKey="{AE5FB645-2BD6-4DA7-A14C-C950C0C23ABA}"/>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 w:name="仿宋_GB2312">
    <w:altName w:val="仿宋"/>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variable"/>
    <w:sig w:usb0="E00006FF" w:usb1="420024FF" w:usb2="02000000" w:usb3="00000000" w:csb0="2000019F" w:csb1="00000000"/>
  </w:font>
  <w:font w:name="@仿宋">
    <w:panose1 w:val="02010609060101010101"/>
    <w:charset w:val="86"/>
    <w:family w:val="auto"/>
    <w:pitch w:val="fixed"/>
    <w:sig w:usb0="800002BF" w:usb1="38CF7CFA" w:usb2="00000016" w:usb3="00000000" w:csb0="00040001" w:csb1="00000000"/>
  </w:font>
  <w:font w:name="@宋体">
    <w:panose1 w:val="02010600030101010101"/>
    <w:charset w:val="86"/>
    <w:family w:val="auto"/>
    <w:pitch w:val="variable"/>
    <w:sig w:usb0="00000003" w:usb1="288F0000" w:usb2="00000006" w:usb3="00000000" w:csb0="00040001" w:csb1="00000000"/>
  </w:font>
  <w:font w:name="Cambria">
    <w:panose1 w:val="02040503050406030204"/>
    <w:charset w:val="00"/>
    <w:family w:val="auto"/>
    <w:pitch w:val="default"/>
    <w:sig w:usb0="E00006FF" w:usb1="420024FF" w:usb2="02000000" w:usb3="00000000" w:csb0="2000019F" w:csb1="00000000"/>
    <w:embedRegular r:id="rId13" w:fontKey="{1CD28D0A-67BA-4755-B9FD-B905F5C02A86}"/>
  </w:font>
  <w:font w:name="华文仿宋">
    <w:panose1 w:val="02010600040101010101"/>
    <w:charset w:val="86"/>
    <w:family w:val="auto"/>
    <w:pitch w:val="default"/>
    <w:sig w:usb0="00000287" w:usb1="080F0000" w:usb2="00000000" w:usb3="00000000" w:csb0="0004009F" w:csb1="DFD70000"/>
    <w:embedRegular r:id="rId14" w:fontKey="{F16DA9AF-9B27-4049-969C-A29153F29F6D}"/>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3C1413"/>
    <w:rsid w:val="00020FAF"/>
    <w:rsid w:val="00022474"/>
    <w:rsid w:val="00024E7F"/>
    <w:rsid w:val="00035156"/>
    <w:rsid w:val="000475A0"/>
    <w:rsid w:val="00065E49"/>
    <w:rsid w:val="00067693"/>
    <w:rsid w:val="000838C3"/>
    <w:rsid w:val="000B2446"/>
    <w:rsid w:val="000D7C65"/>
    <w:rsid w:val="000E2F81"/>
    <w:rsid w:val="000F3AE9"/>
    <w:rsid w:val="000F63E2"/>
    <w:rsid w:val="00101F8D"/>
    <w:rsid w:val="001052FA"/>
    <w:rsid w:val="001055FF"/>
    <w:rsid w:val="001131DC"/>
    <w:rsid w:val="00117946"/>
    <w:rsid w:val="00117E2C"/>
    <w:rsid w:val="00121E64"/>
    <w:rsid w:val="00131C91"/>
    <w:rsid w:val="00136652"/>
    <w:rsid w:val="00143EFF"/>
    <w:rsid w:val="00146C47"/>
    <w:rsid w:val="001514C3"/>
    <w:rsid w:val="00152FB8"/>
    <w:rsid w:val="00163567"/>
    <w:rsid w:val="00176658"/>
    <w:rsid w:val="0018239E"/>
    <w:rsid w:val="001B3410"/>
    <w:rsid w:val="001B7503"/>
    <w:rsid w:val="001C030D"/>
    <w:rsid w:val="001C27CA"/>
    <w:rsid w:val="001C4A84"/>
    <w:rsid w:val="001D0978"/>
    <w:rsid w:val="001D4277"/>
    <w:rsid w:val="001E5902"/>
    <w:rsid w:val="001F4925"/>
    <w:rsid w:val="00233705"/>
    <w:rsid w:val="00246D99"/>
    <w:rsid w:val="00257266"/>
    <w:rsid w:val="00262306"/>
    <w:rsid w:val="00275CA2"/>
    <w:rsid w:val="002A65A5"/>
    <w:rsid w:val="002B611F"/>
    <w:rsid w:val="002C04C4"/>
    <w:rsid w:val="002D08B0"/>
    <w:rsid w:val="002D1AE3"/>
    <w:rsid w:val="002F2ECE"/>
    <w:rsid w:val="00312563"/>
    <w:rsid w:val="00333E94"/>
    <w:rsid w:val="00341C8F"/>
    <w:rsid w:val="003467E7"/>
    <w:rsid w:val="0035463A"/>
    <w:rsid w:val="00361E2D"/>
    <w:rsid w:val="0036556A"/>
    <w:rsid w:val="0037605A"/>
    <w:rsid w:val="003854C5"/>
    <w:rsid w:val="00391D9D"/>
    <w:rsid w:val="003B6C51"/>
    <w:rsid w:val="003C1413"/>
    <w:rsid w:val="003C549F"/>
    <w:rsid w:val="003D5A16"/>
    <w:rsid w:val="003E3EE2"/>
    <w:rsid w:val="003E7DB3"/>
    <w:rsid w:val="00403CBA"/>
    <w:rsid w:val="00431175"/>
    <w:rsid w:val="004374A3"/>
    <w:rsid w:val="004532CF"/>
    <w:rsid w:val="00465D7D"/>
    <w:rsid w:val="00493513"/>
    <w:rsid w:val="00493686"/>
    <w:rsid w:val="004968C3"/>
    <w:rsid w:val="00496B26"/>
    <w:rsid w:val="004B6E37"/>
    <w:rsid w:val="004C32BA"/>
    <w:rsid w:val="004C68EF"/>
    <w:rsid w:val="004E41B0"/>
    <w:rsid w:val="005163CC"/>
    <w:rsid w:val="00517A34"/>
    <w:rsid w:val="005220A2"/>
    <w:rsid w:val="00575922"/>
    <w:rsid w:val="005A3C0D"/>
    <w:rsid w:val="005A6C90"/>
    <w:rsid w:val="005B37E6"/>
    <w:rsid w:val="005E3FB0"/>
    <w:rsid w:val="005F4B66"/>
    <w:rsid w:val="005F5208"/>
    <w:rsid w:val="00615C31"/>
    <w:rsid w:val="00624106"/>
    <w:rsid w:val="00641318"/>
    <w:rsid w:val="0064405D"/>
    <w:rsid w:val="00695557"/>
    <w:rsid w:val="006B6597"/>
    <w:rsid w:val="006D4EA7"/>
    <w:rsid w:val="0070012A"/>
    <w:rsid w:val="0070664B"/>
    <w:rsid w:val="007071B8"/>
    <w:rsid w:val="007155C2"/>
    <w:rsid w:val="007414DE"/>
    <w:rsid w:val="00760C0C"/>
    <w:rsid w:val="007905A9"/>
    <w:rsid w:val="007B136F"/>
    <w:rsid w:val="007E072B"/>
    <w:rsid w:val="007E08E3"/>
    <w:rsid w:val="007E5500"/>
    <w:rsid w:val="007F055B"/>
    <w:rsid w:val="007F2ED3"/>
    <w:rsid w:val="00811C2F"/>
    <w:rsid w:val="00827A1D"/>
    <w:rsid w:val="00833D46"/>
    <w:rsid w:val="00836215"/>
    <w:rsid w:val="00840A97"/>
    <w:rsid w:val="00855C30"/>
    <w:rsid w:val="00872B02"/>
    <w:rsid w:val="00873292"/>
    <w:rsid w:val="008A640A"/>
    <w:rsid w:val="008C0149"/>
    <w:rsid w:val="008D5DED"/>
    <w:rsid w:val="008E25CA"/>
    <w:rsid w:val="008E6A74"/>
    <w:rsid w:val="008F34FC"/>
    <w:rsid w:val="0090200E"/>
    <w:rsid w:val="00944CD7"/>
    <w:rsid w:val="00961190"/>
    <w:rsid w:val="009633B7"/>
    <w:rsid w:val="009831B2"/>
    <w:rsid w:val="009875C7"/>
    <w:rsid w:val="009A1ABE"/>
    <w:rsid w:val="009E21A4"/>
    <w:rsid w:val="009F22C6"/>
    <w:rsid w:val="00A07E50"/>
    <w:rsid w:val="00A12C15"/>
    <w:rsid w:val="00A15397"/>
    <w:rsid w:val="00A35CE0"/>
    <w:rsid w:val="00A4462E"/>
    <w:rsid w:val="00A44AA4"/>
    <w:rsid w:val="00A61623"/>
    <w:rsid w:val="00A84687"/>
    <w:rsid w:val="00A963AB"/>
    <w:rsid w:val="00AA0458"/>
    <w:rsid w:val="00AB0A0E"/>
    <w:rsid w:val="00AD3B6E"/>
    <w:rsid w:val="00AF6D31"/>
    <w:rsid w:val="00B1077C"/>
    <w:rsid w:val="00B1751F"/>
    <w:rsid w:val="00B50F96"/>
    <w:rsid w:val="00B55397"/>
    <w:rsid w:val="00B56722"/>
    <w:rsid w:val="00B67044"/>
    <w:rsid w:val="00B74D39"/>
    <w:rsid w:val="00B827C6"/>
    <w:rsid w:val="00B91DA4"/>
    <w:rsid w:val="00B93E79"/>
    <w:rsid w:val="00BA7174"/>
    <w:rsid w:val="00BF2925"/>
    <w:rsid w:val="00C041B5"/>
    <w:rsid w:val="00C12630"/>
    <w:rsid w:val="00C34562"/>
    <w:rsid w:val="00C3774E"/>
    <w:rsid w:val="00C56AAF"/>
    <w:rsid w:val="00C57456"/>
    <w:rsid w:val="00C65387"/>
    <w:rsid w:val="00C72AC5"/>
    <w:rsid w:val="00C7390C"/>
    <w:rsid w:val="00C857AC"/>
    <w:rsid w:val="00C87FAB"/>
    <w:rsid w:val="00C91FF7"/>
    <w:rsid w:val="00C92D15"/>
    <w:rsid w:val="00C94E53"/>
    <w:rsid w:val="00CD2BAA"/>
    <w:rsid w:val="00CE3FC3"/>
    <w:rsid w:val="00CE4AEB"/>
    <w:rsid w:val="00CF2F7B"/>
    <w:rsid w:val="00CF3C26"/>
    <w:rsid w:val="00D0048E"/>
    <w:rsid w:val="00D05035"/>
    <w:rsid w:val="00D1443A"/>
    <w:rsid w:val="00D23E7A"/>
    <w:rsid w:val="00D56D8F"/>
    <w:rsid w:val="00D61063"/>
    <w:rsid w:val="00D91170"/>
    <w:rsid w:val="00DA19E5"/>
    <w:rsid w:val="00DB35AF"/>
    <w:rsid w:val="00DD72D7"/>
    <w:rsid w:val="00DF5B88"/>
    <w:rsid w:val="00E05532"/>
    <w:rsid w:val="00E0589E"/>
    <w:rsid w:val="00E0697F"/>
    <w:rsid w:val="00E241FA"/>
    <w:rsid w:val="00E2595E"/>
    <w:rsid w:val="00E26D10"/>
    <w:rsid w:val="00E32C2C"/>
    <w:rsid w:val="00E35374"/>
    <w:rsid w:val="00E50C19"/>
    <w:rsid w:val="00E64655"/>
    <w:rsid w:val="00E73081"/>
    <w:rsid w:val="00E856C9"/>
    <w:rsid w:val="00E961CB"/>
    <w:rsid w:val="00EA48CE"/>
    <w:rsid w:val="00EA4F68"/>
    <w:rsid w:val="00EB6A8B"/>
    <w:rsid w:val="00EC6814"/>
    <w:rsid w:val="00ED411D"/>
    <w:rsid w:val="00ED76C7"/>
    <w:rsid w:val="00EF38C6"/>
    <w:rsid w:val="00F0687E"/>
    <w:rsid w:val="00F12D2A"/>
    <w:rsid w:val="00F20D92"/>
    <w:rsid w:val="00F20EC5"/>
    <w:rsid w:val="00F372FC"/>
    <w:rsid w:val="00F61264"/>
    <w:rsid w:val="00F654FD"/>
    <w:rsid w:val="00F679C7"/>
    <w:rsid w:val="00F7711A"/>
    <w:rsid w:val="00F80C72"/>
    <w:rsid w:val="00F84700"/>
    <w:rsid w:val="00FA0D58"/>
    <w:rsid w:val="00FA1580"/>
    <w:rsid w:val="00FA3D66"/>
    <w:rsid w:val="00FA56F4"/>
    <w:rsid w:val="00FA74F4"/>
    <w:rsid w:val="00FB4EDA"/>
    <w:rsid w:val="00FC456D"/>
    <w:rsid w:val="00FD3BD5"/>
    <w:rsid w:val="00FD40BE"/>
    <w:rsid w:val="00FE3DC8"/>
    <w:rsid w:val="04073F84"/>
    <w:rsid w:val="0B60750A"/>
    <w:rsid w:val="10686488"/>
    <w:rsid w:val="10DF728A"/>
    <w:rsid w:val="1264200E"/>
    <w:rsid w:val="141C5B77"/>
    <w:rsid w:val="18D8339D"/>
    <w:rsid w:val="1A21388F"/>
    <w:rsid w:val="1A570D2F"/>
    <w:rsid w:val="28FB0B8D"/>
    <w:rsid w:val="2D2B7942"/>
    <w:rsid w:val="2D46481D"/>
    <w:rsid w:val="2E733B28"/>
    <w:rsid w:val="2EFA4844"/>
    <w:rsid w:val="31852B5A"/>
    <w:rsid w:val="32D01238"/>
    <w:rsid w:val="3DFC59A8"/>
    <w:rsid w:val="3ECF245E"/>
    <w:rsid w:val="3FB96314"/>
    <w:rsid w:val="53A44FAF"/>
    <w:rsid w:val="594329EC"/>
    <w:rsid w:val="5A7D5D4C"/>
    <w:rsid w:val="5BEE1540"/>
    <w:rsid w:val="5DE61A5D"/>
    <w:rsid w:val="63C04243"/>
    <w:rsid w:val="649C01C7"/>
    <w:rsid w:val="699A3F60"/>
    <w:rsid w:val="72902E62"/>
    <w:rsid w:val="734019D0"/>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mbria" w:hAnsi="Cambria" w:eastAsia="Cambria" w:cs="Cambri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Cambria" w:hAnsi="Cambria" w:eastAsia="Cambria" w:cs="Cambria"/>
      <w:sz w:val="20"/>
      <w:szCs w:val="20"/>
    </w:rPr>
    <w:tblPr>
      <w:tblCellMar>
        <w:top w:w="0" w:type="dxa"/>
        <w:left w:w="108" w:type="dxa"/>
        <w:bottom w:w="0" w:type="dxa"/>
        <w:right w:w="108" w:type="dxa"/>
      </w:tblCellMar>
    </w:tblPr>
  </w:style>
  <w:style w:type="paragraph" w:styleId="6">
    <w:name w:val="Document Map"/>
    <w:basedOn w:val="1"/>
    <w:link w:val="34"/>
    <w:semiHidden/>
    <w:unhideWhenUsed/>
    <w:qFormat/>
    <w:uiPriority w:val="99"/>
    <w:rPr>
      <w:rFonts w:ascii="宋体"/>
      <w:sz w:val="18"/>
      <w:szCs w:val="18"/>
    </w:rPr>
  </w:style>
  <w:style w:type="paragraph" w:styleId="7">
    <w:name w:val="Date"/>
    <w:basedOn w:val="1"/>
    <w:next w:val="1"/>
    <w:link w:val="32"/>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10"/>
    <w:qFormat/>
    <w:uiPriority w:val="99"/>
    <w:rPr>
      <w:sz w:val="18"/>
      <w:szCs w:val="18"/>
    </w:rPr>
  </w:style>
  <w:style w:type="character" w:customStyle="1" w:styleId="17">
    <w:name w:val="页脚 Char"/>
    <w:basedOn w:val="15"/>
    <w:link w:val="9"/>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8"/>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1"/>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7"/>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 w:type="character" w:customStyle="1" w:styleId="34">
    <w:name w:val="文档结构图 Char"/>
    <w:basedOn w:val="15"/>
    <w:link w:val="6"/>
    <w:semiHidden/>
    <w:qFormat/>
    <w:uiPriority w:val="99"/>
    <w:rPr>
      <w:rFonts w:ascii="宋体" w:hAnsi="Times New Roman" w:eastAsia="宋体" w:cs="Times New Roman"/>
      <w:kern w:val="2"/>
      <w:sz w:val="18"/>
      <w:szCs w:val="18"/>
    </w:rPr>
  </w:style>
  <w:style w:type="paragraph" w:customStyle="1" w:styleId="35">
    <w:name w:val="Normal1"/>
    <w:basedOn w:val="1"/>
    <w:uiPriority w:val="0"/>
    <w:pPr>
      <w:keepNext w:val="0"/>
      <w:keepLines w:val="0"/>
      <w:widowControl w:val="0"/>
      <w:suppressLineNumbers w:val="0"/>
      <w:spacing w:before="0" w:beforeAutospacing="0" w:after="0" w:afterAutospacing="0" w:line="240" w:lineRule="auto"/>
      <w:ind w:left="0" w:right="0"/>
      <w:jc w:val="both"/>
    </w:pPr>
    <w:rPr>
      <w:rFonts w:hint="default" w:ascii="Times New Roman" w:hAnsi="Times New Roman" w:eastAsia="宋体"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chart" Target="charts/chart5.xml"/><Relationship Id="rId7" Type="http://schemas.openxmlformats.org/officeDocument/2006/relationships/chart" Target="charts/chart4.xml"/><Relationship Id="rId6" Type="http://schemas.openxmlformats.org/officeDocument/2006/relationships/chart" Target="charts/chart3.xml"/><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收入决算结构饼状图</a:t>
            </a:r>
            <a:endParaRPr lang="zh-CN" altLang="en-US"/>
          </a:p>
        </c:rich>
      </c:tx>
      <c:layout/>
      <c:overlay val="0"/>
    </c:title>
    <c:autoTitleDeleted val="0"/>
    <c:plotArea>
      <c:layout/>
      <c:pieChart>
        <c:varyColors val="1"/>
        <c:ser>
          <c:idx val="0"/>
          <c:order val="0"/>
          <c:tx>
            <c:strRef>
              <c:f>Sheet1!$B$1</c:f>
              <c:strCache>
                <c:ptCount val="1"/>
                <c:pt idx="0">
                  <c:v>收入决算饼状图</c:v>
                </c:pt>
              </c:strCache>
            </c:strRef>
          </c:tx>
          <c:explosion val="0"/>
          <c:dPt>
            <c:idx val="0"/>
            <c:bubble3D val="0"/>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2"/>
                <c:pt idx="0">
                  <c:v>财政拨款收入</c:v>
                </c:pt>
                <c:pt idx="1">
                  <c:v>其他收入</c:v>
                </c:pt>
              </c:strCache>
            </c:strRef>
          </c:cat>
          <c:val>
            <c:numRef>
              <c:f>Sheet1!$B$2:$B$5</c:f>
              <c:numCache>
                <c:formatCode>General</c:formatCode>
                <c:ptCount val="4"/>
                <c:pt idx="0">
                  <c:v>1956.24</c:v>
                </c:pt>
                <c:pt idx="1">
                  <c:v>2</c:v>
                </c:pt>
              </c:numCache>
            </c:numRef>
          </c:val>
        </c:ser>
        <c:dLbls>
          <c:showLegendKey val="0"/>
          <c:showVal val="0"/>
          <c:showCatName val="0"/>
          <c:showSerName val="0"/>
          <c:showPercent val="1"/>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支出决算结构饼状图</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General</c:formatCode>
                <c:ptCount val="2"/>
                <c:pt idx="0">
                  <c:v>1488.79</c:v>
                </c:pt>
                <c:pt idx="1">
                  <c:v>367.27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invertIfNegative val="0"/>
          <c:dLbls>
            <c:delete val="1"/>
          </c:dLbls>
          <c:cat>
            <c:strRef>
              <c:f>Sheet1!$A$2:$A$5</c:f>
              <c:strCache>
                <c:ptCount val="2"/>
                <c:pt idx="0">
                  <c:v>财政拨款收入</c:v>
                </c:pt>
                <c:pt idx="1">
                  <c:v>财政拨款支出</c:v>
                </c:pt>
              </c:strCache>
            </c:strRef>
          </c:cat>
          <c:val>
            <c:numRef>
              <c:f>Sheet1!$B$2:$B$5</c:f>
              <c:numCache>
                <c:formatCode>General</c:formatCode>
                <c:ptCount val="4"/>
                <c:pt idx="0">
                  <c:v>1956.24</c:v>
                </c:pt>
                <c:pt idx="1">
                  <c:v>1856.07</c:v>
                </c:pt>
              </c:numCache>
            </c:numRef>
          </c:val>
        </c:ser>
        <c:ser>
          <c:idx val="1"/>
          <c:order val="1"/>
          <c:tx>
            <c:strRef>
              <c:f>Sheet1!$C$1</c:f>
              <c:strCache>
                <c:ptCount val="1"/>
                <c:pt idx="0">
                  <c:v>2017</c:v>
                </c:pt>
              </c:strCache>
            </c:strRef>
          </c:tx>
          <c:invertIfNegative val="0"/>
          <c:dLbls>
            <c:delete val="1"/>
          </c:dLbls>
          <c:cat>
            <c:strRef>
              <c:f>Sheet1!$A$2:$A$5</c:f>
              <c:strCache>
                <c:ptCount val="2"/>
                <c:pt idx="0">
                  <c:v>财政拨款收入</c:v>
                </c:pt>
                <c:pt idx="1">
                  <c:v>财政拨款支出</c:v>
                </c:pt>
              </c:strCache>
            </c:strRef>
          </c:cat>
          <c:val>
            <c:numRef>
              <c:f>Sheet1!$C$2:$C$5</c:f>
              <c:numCache>
                <c:formatCode>General</c:formatCode>
                <c:ptCount val="4"/>
                <c:pt idx="0">
                  <c:v>1862.55</c:v>
                </c:pt>
                <c:pt idx="1">
                  <c:v>1757.13</c:v>
                </c:pt>
              </c:numCache>
            </c:numRef>
          </c:val>
        </c:ser>
        <c:ser>
          <c:idx val="2"/>
          <c:order val="2"/>
          <c:tx>
            <c:strRef>
              <c:f>Sheet1!$D$1</c:f>
              <c:strCache>
                <c:ptCount val="1"/>
                <c:pt idx="0">
                  <c:v>列1</c:v>
                </c:pt>
              </c:strCache>
            </c:strRef>
          </c:tx>
          <c:invertIfNegative val="0"/>
          <c:dLbls>
            <c:delete val="1"/>
          </c:dLbls>
          <c:cat>
            <c:strRef>
              <c:f>Sheet1!$A$2:$A$5</c:f>
              <c:strCache>
                <c:ptCount val="2"/>
                <c:pt idx="0">
                  <c:v>财政拨款收入</c:v>
                </c:pt>
                <c:pt idx="1">
                  <c:v>财政拨款支出</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97594752"/>
        <c:axId val="97604736"/>
      </c:barChart>
      <c:catAx>
        <c:axId val="9759475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1" i="0" u="none" strike="noStrike" kern="1200" cap="none" spc="0" baseline="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defRPr>
            </a:pPr>
          </a:p>
        </c:txPr>
        <c:crossAx val="97604736"/>
        <c:crosses val="autoZero"/>
        <c:auto val="1"/>
        <c:lblAlgn val="ctr"/>
        <c:lblOffset val="100"/>
        <c:noMultiLvlLbl val="0"/>
      </c:catAx>
      <c:valAx>
        <c:axId val="976047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1" i="0" u="none" strike="noStrike" kern="1200" cap="none" spc="0" baseline="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defRPr>
            </a:pPr>
          </a:p>
        </c:txPr>
        <c:crossAx val="97594752"/>
        <c:crosses val="autoZero"/>
        <c:crossBetween val="between"/>
      </c:valAx>
      <c:spPr>
        <a:solidFill>
          <a:schemeClr val="bg1">
            <a:tint val="100000"/>
            <a:shade val="100000"/>
            <a:hueMod val="100000"/>
            <a:satMod val="100000"/>
          </a:schemeClr>
        </a:solidFill>
        <a:ln>
          <a:noFill/>
        </a:ln>
        <a:effectLst/>
      </c:spPr>
    </c:plotArea>
    <c:legend>
      <c:legendPos val="r"/>
      <c:legendEntry>
        <c:idx val="2"/>
        <c:delete val="1"/>
      </c:legendEntry>
      <c:layout/>
      <c:overlay val="0"/>
      <c:txPr>
        <a:bodyPr rot="0" spcFirstLastPara="0" vertOverflow="ellipsis" vert="horz" wrap="square" anchor="ctr" anchorCtr="1"/>
        <a:lstStyle/>
        <a:p>
          <a:pPr>
            <a:defRPr lang="zh-CN" sz="1000" b="1" i="0" u="none" strike="noStrike" kern="1200" cap="none" spc="0" baseline="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mn-lt"/>
              <a:ea typeface="+mn-ea"/>
              <a:cs typeface="+mn-cs"/>
            </a:defRPr>
          </a:pPr>
        </a:p>
      </c:txPr>
    </c:legend>
    <c:plotVisOnly val="1"/>
    <c:dispBlanksAs val="gap"/>
    <c:showDLblsOverMax val="0"/>
  </c:chart>
  <c:txPr>
    <a:bodyPr/>
    <a:lstStyle/>
    <a:p>
      <a:pPr>
        <a:defRPr lang="zh-CN"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2018决算</c:v>
                </c:pt>
              </c:strCache>
            </c:strRef>
          </c:tx>
          <c:invertIfNegative val="0"/>
          <c:dLbls>
            <c:delete val="1"/>
          </c:dLbls>
          <c:cat>
            <c:strRef>
              <c:f>Sheet1!$A$2:$A$3</c:f>
              <c:strCache>
                <c:ptCount val="2"/>
                <c:pt idx="0">
                  <c:v>财政拨款收入</c:v>
                </c:pt>
                <c:pt idx="1">
                  <c:v>财政拨款支出</c:v>
                </c:pt>
              </c:strCache>
            </c:strRef>
          </c:cat>
          <c:val>
            <c:numRef>
              <c:f>Sheet1!$B$2:$B$3</c:f>
              <c:numCache>
                <c:formatCode>General</c:formatCode>
                <c:ptCount val="2"/>
                <c:pt idx="0">
                  <c:v>1956.24</c:v>
                </c:pt>
                <c:pt idx="1">
                  <c:v>1856.07</c:v>
                </c:pt>
              </c:numCache>
            </c:numRef>
          </c:val>
        </c:ser>
        <c:ser>
          <c:idx val="1"/>
          <c:order val="1"/>
          <c:tx>
            <c:strRef>
              <c:f>Sheet1!$C$1</c:f>
              <c:strCache>
                <c:ptCount val="1"/>
                <c:pt idx="0">
                  <c:v>2018预算</c:v>
                </c:pt>
              </c:strCache>
            </c:strRef>
          </c:tx>
          <c:invertIfNegative val="0"/>
          <c:dLbls>
            <c:delete val="1"/>
          </c:dLbls>
          <c:cat>
            <c:strRef>
              <c:f>Sheet1!$A$2:$A$3</c:f>
              <c:strCache>
                <c:ptCount val="2"/>
                <c:pt idx="0">
                  <c:v>财政拨款收入</c:v>
                </c:pt>
                <c:pt idx="1">
                  <c:v>财政拨款支出</c:v>
                </c:pt>
              </c:strCache>
            </c:strRef>
          </c:cat>
          <c:val>
            <c:numRef>
              <c:f>Sheet1!$C$2:$C$3</c:f>
              <c:numCache>
                <c:formatCode>General</c:formatCode>
                <c:ptCount val="2"/>
                <c:pt idx="0">
                  <c:v>1846.12</c:v>
                </c:pt>
                <c:pt idx="1">
                  <c:v>1846.12</c:v>
                </c:pt>
              </c:numCache>
            </c:numRef>
          </c:val>
        </c:ser>
        <c:dLbls>
          <c:showLegendKey val="0"/>
          <c:showVal val="0"/>
          <c:showCatName val="0"/>
          <c:showSerName val="0"/>
          <c:showPercent val="0"/>
          <c:showBubbleSize val="0"/>
        </c:dLbls>
        <c:gapWidth val="150"/>
        <c:axId val="97628928"/>
        <c:axId val="97630464"/>
      </c:barChart>
      <c:catAx>
        <c:axId val="9762892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630464"/>
        <c:crosses val="autoZero"/>
        <c:auto val="1"/>
        <c:lblAlgn val="ctr"/>
        <c:lblOffset val="100"/>
        <c:noMultiLvlLbl val="0"/>
      </c:catAx>
      <c:valAx>
        <c:axId val="976304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628928"/>
        <c:crosses val="autoZero"/>
        <c:crossBetween val="between"/>
      </c:valAx>
      <c:spPr>
        <a:solidFill>
          <a:schemeClr val="bg1">
            <a:tint val="100000"/>
            <a:shade val="100000"/>
            <a:hueMod val="100000"/>
            <a:satMod val="100000"/>
          </a:schemeClr>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财政拨款支出决算结构</c:v>
                </c:pt>
              </c:strCache>
            </c:strRef>
          </c:tx>
          <c:spPr>
            <a:ln>
              <a:noFill/>
              <a:prstDash val="sysDot"/>
            </a:ln>
          </c:spPr>
          <c:explosion val="0"/>
          <c:dPt>
            <c:idx val="0"/>
            <c:bubble3D val="0"/>
            <c:spPr>
              <a:ln>
                <a:noFill/>
                <a:prstDash val="sysDot"/>
              </a:ln>
            </c:spPr>
          </c:dPt>
          <c:dPt>
            <c:idx val="1"/>
            <c:bubble3D val="0"/>
            <c:spPr>
              <a:ln>
                <a:noFill/>
                <a:prstDash val="sysDot"/>
              </a:ln>
            </c:spPr>
          </c:dPt>
          <c:dPt>
            <c:idx val="2"/>
            <c:bubble3D val="0"/>
            <c:spPr>
              <a:ln>
                <a:noFill/>
                <a:prstDash val="sysDot"/>
              </a:ln>
            </c:spPr>
          </c:dPt>
          <c:dPt>
            <c:idx val="3"/>
            <c:bubble3D val="0"/>
            <c:spPr>
              <a:ln>
                <a:noFill/>
                <a:prstDash val="sysDot"/>
              </a:ln>
            </c:spPr>
          </c:dPt>
          <c:dPt>
            <c:idx val="4"/>
            <c:bubble3D val="0"/>
            <c:spPr>
              <a:ln>
                <a:noFill/>
                <a:prstDash val="sysDot"/>
              </a:ln>
            </c:spPr>
          </c:dPt>
          <c:dLbls>
            <c:numFmt formatCode="0.00%" sourceLinked="0"/>
            <c:spPr>
              <a:noFill/>
              <a:ln>
                <a:noFill/>
                <a:prstDash val="sysDot"/>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Sheet1!$A$2:$A$6</c:f>
              <c:strCache>
                <c:ptCount val="5"/>
                <c:pt idx="0">
                  <c:v>一般公共服务</c:v>
                </c:pt>
                <c:pt idx="1">
                  <c:v>社会保障和就业</c:v>
                </c:pt>
                <c:pt idx="2">
                  <c:v>医疗卫生与计划生育</c:v>
                </c:pt>
                <c:pt idx="3">
                  <c:v>农林水</c:v>
                </c:pt>
                <c:pt idx="4">
                  <c:v>住房保障</c:v>
                </c:pt>
              </c:strCache>
            </c:strRef>
          </c:cat>
          <c:val>
            <c:numRef>
              <c:f>Sheet1!$B$2:$B$6</c:f>
              <c:numCache>
                <c:formatCode>General</c:formatCode>
                <c:ptCount val="5"/>
                <c:pt idx="0">
                  <c:v>1642.77</c:v>
                </c:pt>
                <c:pt idx="1">
                  <c:v>108.17</c:v>
                </c:pt>
                <c:pt idx="2">
                  <c:v>38.84</c:v>
                </c:pt>
                <c:pt idx="3">
                  <c:v>1.38</c:v>
                </c:pt>
                <c:pt idx="4">
                  <c:v>64.9</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9C4D685A-992F-498A-BA85-DF4957C88E4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36</Pages>
  <Words>2152</Words>
  <Characters>12273</Characters>
  <Lines>102</Lines>
  <Paragraphs>28</Paragraphs>
  <TotalTime>5</TotalTime>
  <ScaleCrop>false</ScaleCrop>
  <LinksUpToDate>false</LinksUpToDate>
  <CharactersWithSpaces>14397</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lenovo</cp:lastModifiedBy>
  <cp:lastPrinted>2019-09-27T00:42:00Z</cp:lastPrinted>
  <dcterms:modified xsi:type="dcterms:W3CDTF">2021-05-26T07:02:43Z</dcterms:modified>
  <dc:subject>石家庄市xxx部门</dc:subject>
  <dc:title>2017年度部门决算</dc:title>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